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921E41C" w:rsidP="68AE7215" w:rsidRDefault="0921E41C" w14:paraId="55A56E92" w14:textId="6FF1D6A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68AE7215" w:rsidR="0921E41C">
        <w:rPr>
          <w:rStyle w:val="normaltextrun1"/>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t>Coordenação de Gestão de Pessoas - INSTITUTO NACIONAL DE CÂNCER (COGEP | INCA)</w:t>
      </w:r>
    </w:p>
    <w:p w:rsidR="0921E41C" w:rsidP="68AE7215" w:rsidRDefault="0921E41C" w14:paraId="0F97A8B9" w14:textId="2BDA8242">
      <w:pPr>
        <w:pStyle w:val="Normal"/>
        <w:spacing w:after="0" w:afterAutospacing="off" w:line="240" w:lineRule="auto"/>
        <w:jc w:val="both"/>
      </w:pPr>
      <w:r w:rsidRPr="68AE7215" w:rsidR="0921E41C">
        <w:rPr>
          <w:rStyle w:val="normaltextrun1"/>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single"/>
          <w:lang w:val="pt-BR"/>
        </w:rPr>
        <w:t>Rio de Janeiro - RJ</w:t>
      </w:r>
    </w:p>
    <w:p w:rsidR="05D33101" w:rsidP="05D33101" w:rsidRDefault="05D33101" w14:paraId="43966AC4" w14:textId="2FE0EC71">
      <w:pPr>
        <w:pStyle w:val="Normal"/>
        <w:spacing w:after="200" w:line="24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pt-BR"/>
        </w:rPr>
      </w:pPr>
    </w:p>
    <w:p w:rsidR="05D33101" w:rsidP="05D33101" w:rsidRDefault="05D33101" w14:paraId="4DF30D6B" w14:textId="6F165439">
      <w:pPr>
        <w:spacing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p>
    <w:p w:rsidR="05D33101" w:rsidP="05D33101" w:rsidRDefault="05D33101" w14:paraId="18F306FB" w14:textId="7131606E">
      <w:pPr>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p>
    <w:p w:rsidR="05D33101" w:rsidP="05D33101" w:rsidRDefault="05D33101" w14:paraId="20D480F8" w14:textId="640B9D6C">
      <w:pPr>
        <w:pStyle w:val="Normal"/>
        <w:spacing w:after="200" w:line="240" w:lineRule="auto"/>
        <w:ind w:left="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p>
    <w:p w:rsidR="05D33101" w:rsidP="05D33101" w:rsidRDefault="05D33101" w14:paraId="45FCA365" w14:textId="4F818A63">
      <w:pPr>
        <w:pStyle w:val="Normal"/>
        <w:spacing w:after="200" w:line="240" w:lineRule="auto"/>
        <w:ind w:left="1701"/>
        <w:jc w:val="both"/>
        <w:rPr>
          <w:rFonts w:ascii="Times New Roman" w:hAnsi="Times New Roman" w:eastAsia="Times New Roman" w:cs="Times New Roman"/>
          <w:noProof w:val="0"/>
          <w:sz w:val="22"/>
          <w:szCs w:val="22"/>
          <w:lang w:val="pt-BR"/>
        </w:rPr>
      </w:pPr>
      <w:r w:rsidRPr="3B15A819"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Ementa: Constitucional. Administrativo. Abono de permanência. </w:t>
      </w:r>
      <w:r w:rsidRPr="3B15A819" w:rsidR="05D33101">
        <w:rPr>
          <w:rFonts w:ascii="Times New Roman" w:hAnsi="Times New Roman" w:eastAsia="Times New Roman" w:cs="Times New Roman"/>
          <w:noProof w:val="0"/>
          <w:sz w:val="26"/>
          <w:szCs w:val="26"/>
          <w:lang w:val="pt-BR"/>
        </w:rPr>
        <w:t>Cômputo na base de cálculo da gratificação natalina e no terço de férias. Natureza permanente e remuneratória. Entendimento do</w:t>
      </w:r>
      <w:r w:rsidRPr="3B15A819" w:rsidR="6B82F3B0">
        <w:rPr>
          <w:rFonts w:ascii="Times New Roman" w:hAnsi="Times New Roman" w:eastAsia="Times New Roman" w:cs="Times New Roman"/>
          <w:noProof w:val="0"/>
          <w:sz w:val="26"/>
          <w:szCs w:val="26"/>
          <w:lang w:val="pt-BR"/>
        </w:rPr>
        <w:t>s</w:t>
      </w:r>
      <w:r w:rsidRPr="3B15A819" w:rsidR="05D33101">
        <w:rPr>
          <w:rFonts w:ascii="Times New Roman" w:hAnsi="Times New Roman" w:eastAsia="Times New Roman" w:cs="Times New Roman"/>
          <w:noProof w:val="0"/>
          <w:sz w:val="26"/>
          <w:szCs w:val="26"/>
          <w:lang w:val="pt-BR"/>
        </w:rPr>
        <w:t xml:space="preserve"> Tribunais Superiores.</w:t>
      </w:r>
    </w:p>
    <w:p w:rsidR="05D33101" w:rsidP="05D33101" w:rsidRDefault="05D33101" w14:paraId="443F478A" w14:textId="2E670E06">
      <w:pPr>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w:t>
      </w:r>
    </w:p>
    <w:p w:rsidR="05D33101" w:rsidP="05D33101" w:rsidRDefault="05D33101" w14:paraId="396B49B5" w14:textId="76820163">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w:rsidR="0D4F46A7" w:rsidP="68AE7215" w:rsidRDefault="0D4F46A7" w14:paraId="2796CB27" w14:textId="3FA2DF46">
      <w:pPr>
        <w:widowControl w:val="0"/>
        <w:spacing w:after="0" w:line="240" w:lineRule="auto"/>
        <w:ind w:firstLine="1701"/>
        <w:jc w:val="both"/>
        <w:rPr>
          <w:rFonts w:ascii="Times New Roman" w:hAnsi="Times New Roman" w:eastAsia="Times New Roman" w:cs="Times New Roman"/>
          <w:noProof w:val="0"/>
          <w:sz w:val="26"/>
          <w:szCs w:val="26"/>
          <w:lang w:val="pt-BR"/>
        </w:rPr>
      </w:pPr>
      <w:r w:rsidRPr="68AE7215" w:rsidR="0D4F46A7">
        <w:rPr>
          <w:rFonts w:ascii="Times New Roman" w:hAnsi="Times New Roman" w:eastAsia="Times New Roman" w:cs="Times New Roman"/>
          <w:b w:val="1"/>
          <w:bCs w:val="1"/>
          <w:i w:val="0"/>
          <w:iCs w:val="0"/>
          <w:caps w:val="0"/>
          <w:smallCaps w:val="0"/>
          <w:noProof w:val="0"/>
          <w:color w:val="000000" w:themeColor="text1" w:themeTint="FF" w:themeShade="FF"/>
          <w:sz w:val="26"/>
          <w:szCs w:val="26"/>
          <w:highlight w:val="yellow"/>
          <w:lang w:val="pt-BR"/>
        </w:rPr>
        <w:t>[NOME COMPLETO]</w:t>
      </w:r>
      <w:r w:rsidRPr="68AE7215" w:rsidR="0D4F46A7">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servidor do Instituto Nacional do Câncer (INCA), matrícula n. </w:t>
      </w:r>
      <w:r w:rsidRPr="68AE7215" w:rsidR="0D4F46A7">
        <w:rPr>
          <w:rFonts w:ascii="Times New Roman" w:hAnsi="Times New Roman" w:eastAsia="Times New Roman" w:cs="Times New Roman"/>
          <w:b w:val="0"/>
          <w:bCs w:val="0"/>
          <w:i w:val="0"/>
          <w:iCs w:val="0"/>
          <w:caps w:val="0"/>
          <w:smallCaps w:val="0"/>
          <w:noProof w:val="0"/>
          <w:color w:val="000000" w:themeColor="text1" w:themeTint="FF" w:themeShade="FF"/>
          <w:sz w:val="26"/>
          <w:szCs w:val="26"/>
          <w:highlight w:val="yellow"/>
          <w:lang w:val="pt-BR"/>
        </w:rPr>
        <w:t>_________</w:t>
      </w:r>
      <w:r w:rsidRPr="68AE7215" w:rsidR="0D4F46A7">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vem apresentar </w:t>
      </w:r>
      <w:r w:rsidRPr="68AE7215" w:rsidR="0D4F46A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6"/>
          <w:szCs w:val="26"/>
          <w:u w:val="single"/>
          <w:lang w:val="pt-BR"/>
        </w:rPr>
        <w:t>REQUERIMENTO ADMINISTRATIVO</w:t>
      </w:r>
      <w:r w:rsidRPr="68AE7215" w:rsidR="0D4F46A7">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pelos fatos e fundamentos que seguem: </w:t>
      </w:r>
    </w:p>
    <w:p w:rsidR="68AE7215" w:rsidP="68AE7215" w:rsidRDefault="68AE7215" w14:paraId="4A69A604" w14:textId="6D23DF34">
      <w:pPr>
        <w:pStyle w:val="Normal"/>
        <w:spacing w:after="200"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p>
    <w:p w:rsidR="05D33101" w:rsidP="3B15A819" w:rsidRDefault="05D33101" w14:paraId="30919D9B" w14:textId="1BF9C2C2">
      <w:pPr>
        <w:pStyle w:val="Normal"/>
        <w:tabs>
          <w:tab w:val="left" w:leader="none" w:pos="284"/>
        </w:tabs>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auto"/>
          <w:sz w:val="26"/>
          <w:szCs w:val="26"/>
          <w:lang w:val="pt-BR"/>
        </w:rPr>
      </w:pPr>
      <w:r w:rsidRPr="68AE7215" w:rsidR="05D33101">
        <w:rPr>
          <w:rFonts w:ascii="Times New Roman" w:hAnsi="Times New Roman" w:eastAsia="Times New Roman" w:cs="Times New Roman"/>
          <w:b w:val="0"/>
          <w:bCs w:val="0"/>
          <w:i w:val="0"/>
          <w:iCs w:val="0"/>
          <w:caps w:val="0"/>
          <w:smallCaps w:val="0"/>
          <w:noProof w:val="0"/>
          <w:color w:val="auto"/>
          <w:sz w:val="26"/>
          <w:szCs w:val="26"/>
          <w:lang w:val="pt-BR"/>
        </w:rPr>
        <w:t xml:space="preserve">O abono de </w:t>
      </w:r>
      <w:r w:rsidRPr="68AE7215" w:rsidR="05D33101">
        <w:rPr>
          <w:rFonts w:ascii="Times New Roman" w:hAnsi="Times New Roman" w:eastAsia="Times New Roman" w:cs="Times New Roman"/>
          <w:b w:val="0"/>
          <w:bCs w:val="0"/>
          <w:i w:val="0"/>
          <w:iCs w:val="0"/>
          <w:caps w:val="0"/>
          <w:smallCaps w:val="0"/>
          <w:noProof w:val="0"/>
          <w:color w:val="auto"/>
          <w:sz w:val="26"/>
          <w:szCs w:val="26"/>
          <w:lang w:val="pt-BR"/>
        </w:rPr>
        <w:t>pe</w:t>
      </w:r>
      <w:r w:rsidRPr="68AE7215" w:rsidR="05D33101">
        <w:rPr>
          <w:rFonts w:ascii="Times New Roman" w:hAnsi="Times New Roman" w:eastAsia="Times New Roman" w:cs="Times New Roman"/>
          <w:b w:val="0"/>
          <w:bCs w:val="0"/>
          <w:i w:val="0"/>
          <w:iCs w:val="0"/>
          <w:caps w:val="0"/>
          <w:smallCaps w:val="0"/>
          <w:noProof w:val="0"/>
          <w:color w:val="auto"/>
          <w:sz w:val="26"/>
          <w:szCs w:val="26"/>
          <w:lang w:val="pt-BR"/>
        </w:rPr>
        <w:t>rmanênci</w:t>
      </w:r>
      <w:r w:rsidRPr="68AE7215" w:rsidR="05D33101">
        <w:rPr>
          <w:rFonts w:ascii="Times New Roman" w:hAnsi="Times New Roman" w:eastAsia="Times New Roman" w:cs="Times New Roman"/>
          <w:b w:val="0"/>
          <w:bCs w:val="0"/>
          <w:i w:val="0"/>
          <w:iCs w:val="0"/>
          <w:caps w:val="0"/>
          <w:smallCaps w:val="0"/>
          <w:noProof w:val="0"/>
          <w:color w:val="auto"/>
          <w:sz w:val="26"/>
          <w:szCs w:val="26"/>
          <w:lang w:val="pt-BR"/>
        </w:rPr>
        <w:t>a</w:t>
      </w:r>
      <w:r w:rsidRPr="68AE7215">
        <w:rPr>
          <w:rStyle w:val="Refdenotaderodap"/>
          <w:rFonts w:ascii="Times New Roman" w:hAnsi="Times New Roman" w:eastAsia="Times New Roman" w:cs="Times New Roman"/>
          <w:b w:val="0"/>
          <w:bCs w:val="0"/>
          <w:i w:val="0"/>
          <w:iCs w:val="0"/>
          <w:caps w:val="0"/>
          <w:smallCaps w:val="0"/>
          <w:noProof w:val="0"/>
          <w:color w:val="auto"/>
          <w:sz w:val="26"/>
          <w:szCs w:val="26"/>
          <w:lang w:val="pt-BR"/>
        </w:rPr>
        <w:footnoteReference w:id="17201"/>
      </w:r>
      <w:r w:rsidRPr="68AE7215" w:rsidR="5592BF9C">
        <w:rPr>
          <w:rFonts w:ascii="Times New Roman" w:hAnsi="Times New Roman" w:eastAsia="Times New Roman" w:cs="Times New Roman"/>
          <w:b w:val="0"/>
          <w:bCs w:val="0"/>
          <w:i w:val="0"/>
          <w:iCs w:val="0"/>
          <w:caps w:val="0"/>
          <w:smallCaps w:val="0"/>
          <w:noProof w:val="0"/>
          <w:color w:val="auto"/>
          <w:sz w:val="26"/>
          <w:szCs w:val="26"/>
          <w:lang w:val="pt-BR"/>
        </w:rPr>
        <w:t xml:space="preserve"> </w:t>
      </w:r>
      <w:r w:rsidRPr="68AE7215" w:rsidR="05D33101">
        <w:rPr>
          <w:rFonts w:ascii="Times New Roman" w:hAnsi="Times New Roman" w:eastAsia="Times New Roman" w:cs="Times New Roman"/>
          <w:b w:val="0"/>
          <w:bCs w:val="0"/>
          <w:i w:val="0"/>
          <w:iCs w:val="0"/>
          <w:caps w:val="0"/>
          <w:smallCaps w:val="0"/>
          <w:noProof w:val="0"/>
          <w:color w:val="auto"/>
          <w:sz w:val="26"/>
          <w:szCs w:val="26"/>
          <w:lang w:val="pt-BR"/>
        </w:rPr>
        <w:t>con</w:t>
      </w:r>
      <w:r w:rsidRPr="68AE7215" w:rsidR="05D33101">
        <w:rPr>
          <w:rFonts w:ascii="Times New Roman" w:hAnsi="Times New Roman" w:eastAsia="Times New Roman" w:cs="Times New Roman"/>
          <w:b w:val="0"/>
          <w:bCs w:val="0"/>
          <w:i w:val="0"/>
          <w:iCs w:val="0"/>
          <w:caps w:val="0"/>
          <w:smallCaps w:val="0"/>
          <w:noProof w:val="0"/>
          <w:color w:val="auto"/>
          <w:sz w:val="26"/>
          <w:szCs w:val="26"/>
          <w:lang w:val="pt-BR"/>
        </w:rPr>
        <w:t>siste</w:t>
      </w:r>
      <w:r w:rsidRPr="68AE7215" w:rsidR="05D33101">
        <w:rPr>
          <w:rFonts w:ascii="Times New Roman" w:hAnsi="Times New Roman" w:eastAsia="Times New Roman" w:cs="Times New Roman"/>
          <w:b w:val="0"/>
          <w:bCs w:val="0"/>
          <w:i w:val="0"/>
          <w:iCs w:val="0"/>
          <w:caps w:val="0"/>
          <w:smallCaps w:val="0"/>
          <w:noProof w:val="0"/>
          <w:color w:val="auto"/>
          <w:sz w:val="26"/>
          <w:szCs w:val="26"/>
          <w:lang w:val="pt-BR"/>
        </w:rPr>
        <w:t xml:space="preserve"> em benefício pecuniário concedido ao servidor que opte por permanecer em atividade, mesmo após cumprir todos os requisitos necessários à aposentadoria voluntária, a fim de estimular a permanência do servidor nos quadros da Administração, devolvendo-se parcela do valor equivalente à contribuição para a remuneração.</w:t>
      </w:r>
    </w:p>
    <w:p w:rsidR="05D33101" w:rsidP="05D33101" w:rsidRDefault="05D33101" w14:paraId="1CFF2F30" w14:textId="461EEA38">
      <w:pPr>
        <w:pStyle w:val="Normal"/>
        <w:tabs>
          <w:tab w:val="left" w:leader="none" w:pos="284"/>
        </w:tabs>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auto"/>
          <w:sz w:val="26"/>
          <w:szCs w:val="26"/>
          <w:lang w:val="pt-BR"/>
        </w:rPr>
      </w:pPr>
    </w:p>
    <w:p w:rsidR="05D33101" w:rsidP="05D33101" w:rsidRDefault="05D33101" w14:paraId="23644AB5" w14:textId="3CC91FFD">
      <w:pPr>
        <w:pStyle w:val="Normal"/>
        <w:tabs>
          <w:tab w:val="left" w:leader="none" w:pos="284"/>
        </w:tabs>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auto"/>
          <w:sz w:val="26"/>
          <w:szCs w:val="26"/>
          <w:lang w:val="pt-BR"/>
        </w:rPr>
      </w:pPr>
      <w:r w:rsidRPr="05D33101" w:rsidR="05D33101">
        <w:rPr>
          <w:rFonts w:ascii="Times New Roman" w:hAnsi="Times New Roman" w:eastAsia="Times New Roman" w:cs="Times New Roman"/>
          <w:b w:val="0"/>
          <w:bCs w:val="0"/>
          <w:i w:val="0"/>
          <w:iCs w:val="0"/>
          <w:caps w:val="0"/>
          <w:smallCaps w:val="0"/>
          <w:noProof w:val="0"/>
          <w:color w:val="auto"/>
          <w:sz w:val="26"/>
          <w:szCs w:val="26"/>
          <w:lang w:val="pt-BR"/>
        </w:rPr>
        <w:t xml:space="preserve">O Superior Tribunal de Justiça, em recurso repetitivo - </w:t>
      </w:r>
      <w:proofErr w:type="spellStart"/>
      <w:r w:rsidRPr="05D33101" w:rsidR="05D33101">
        <w:rPr>
          <w:rFonts w:ascii="Times New Roman" w:hAnsi="Times New Roman" w:eastAsia="Times New Roman" w:cs="Times New Roman"/>
          <w:b w:val="0"/>
          <w:bCs w:val="0"/>
          <w:i w:val="0"/>
          <w:iCs w:val="0"/>
          <w:caps w:val="0"/>
          <w:smallCaps w:val="0"/>
          <w:noProof w:val="0"/>
          <w:color w:val="auto"/>
          <w:sz w:val="26"/>
          <w:szCs w:val="26"/>
          <w:lang w:val="pt-BR"/>
        </w:rPr>
        <w:t>REsp</w:t>
      </w:r>
      <w:proofErr w:type="spellEnd"/>
      <w:r w:rsidRPr="05D33101" w:rsidR="05D33101">
        <w:rPr>
          <w:rFonts w:ascii="Times New Roman" w:hAnsi="Times New Roman" w:eastAsia="Times New Roman" w:cs="Times New Roman"/>
          <w:b w:val="0"/>
          <w:bCs w:val="0"/>
          <w:i w:val="0"/>
          <w:iCs w:val="0"/>
          <w:caps w:val="0"/>
          <w:smallCaps w:val="0"/>
          <w:noProof w:val="0"/>
          <w:color w:val="auto"/>
          <w:sz w:val="26"/>
          <w:szCs w:val="26"/>
          <w:lang w:val="pt-BR"/>
        </w:rPr>
        <w:t xml:space="preserve"> nº 1.192.556/PE -, reconheceu a natureza remuneratória do abono de permanência, por conferir acréscimo patrimonial ao beneficiário e configurar fato gerador do imposto de renda</w:t>
      </w:r>
      <w:r w:rsidRPr="05D33101">
        <w:rPr>
          <w:rStyle w:val="Refdenotaderodap"/>
          <w:rFonts w:ascii="Times New Roman" w:hAnsi="Times New Roman" w:eastAsia="Times New Roman" w:cs="Times New Roman"/>
          <w:b w:val="0"/>
          <w:bCs w:val="0"/>
          <w:i w:val="0"/>
          <w:iCs w:val="0"/>
          <w:caps w:val="0"/>
          <w:smallCaps w:val="0"/>
          <w:noProof w:val="0"/>
          <w:color w:val="auto"/>
          <w:sz w:val="26"/>
          <w:szCs w:val="26"/>
          <w:lang w:val="pt-BR"/>
        </w:rPr>
        <w:footnoteReference w:id="20979"/>
      </w:r>
      <w:r w:rsidRPr="05D33101" w:rsidR="05D33101">
        <w:rPr>
          <w:rFonts w:ascii="Times New Roman" w:hAnsi="Times New Roman" w:eastAsia="Times New Roman" w:cs="Times New Roman"/>
          <w:b w:val="0"/>
          <w:bCs w:val="0"/>
          <w:i w:val="0"/>
          <w:iCs w:val="0"/>
          <w:caps w:val="0"/>
          <w:smallCaps w:val="0"/>
          <w:noProof w:val="0"/>
          <w:color w:val="auto"/>
          <w:sz w:val="26"/>
          <w:szCs w:val="26"/>
          <w:lang w:val="pt-BR"/>
        </w:rPr>
        <w:t xml:space="preserve">. </w:t>
      </w:r>
    </w:p>
    <w:p w:rsidR="05D33101" w:rsidP="05D33101" w:rsidRDefault="05D33101" w14:paraId="5886073A" w14:textId="30A770B5">
      <w:pPr>
        <w:pStyle w:val="Normal"/>
        <w:tabs>
          <w:tab w:val="left" w:leader="none" w:pos="284"/>
        </w:tabs>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auto"/>
          <w:sz w:val="22"/>
          <w:szCs w:val="22"/>
          <w:lang w:val="pt-BR"/>
        </w:rPr>
      </w:pPr>
    </w:p>
    <w:p w:rsidR="05D33101" w:rsidP="05D33101" w:rsidRDefault="05D33101" w14:paraId="66FAE42D" w14:textId="2B5843BD">
      <w:pPr>
        <w:pStyle w:val="Normal"/>
        <w:tabs>
          <w:tab w:val="left" w:leader="none" w:pos="284"/>
        </w:tabs>
        <w:spacing w:after="0" w:afterAutospacing="off" w:line="240" w:lineRule="auto"/>
        <w:ind w:left="0" w:firstLine="1701"/>
        <w:jc w:val="both"/>
        <w:rPr>
          <w:rFonts w:ascii="Times New Roman" w:hAnsi="Times New Roman" w:eastAsia="Times New Roman" w:cs="Times New Roman"/>
          <w:noProof w:val="0"/>
          <w:color w:val="auto"/>
          <w:sz w:val="26"/>
          <w:szCs w:val="26"/>
          <w:lang w:val="pt-BR"/>
        </w:rPr>
      </w:pPr>
      <w:r w:rsidRPr="3B15A819" w:rsidR="05D33101">
        <w:rPr>
          <w:rFonts w:ascii="Times New Roman" w:hAnsi="Times New Roman" w:eastAsia="Times New Roman" w:cs="Times New Roman"/>
          <w:noProof w:val="0"/>
          <w:color w:val="auto"/>
          <w:sz w:val="26"/>
          <w:szCs w:val="26"/>
          <w:lang w:val="pt-BR"/>
        </w:rPr>
        <w:t>Considerando a natureza remuneratória, o Superior Tribunal de Justiça também entende que a parcela deve ser computada no cálculo da licença-prêmio não gozada e convertida em pecúnia (“</w:t>
      </w:r>
      <w:r w:rsidRPr="3B15A819" w:rsidR="05D33101">
        <w:rPr>
          <w:rFonts w:ascii="Times New Roman" w:hAnsi="Times New Roman" w:eastAsia="Times New Roman" w:cs="Times New Roman"/>
          <w:noProof w:val="0"/>
          <w:color w:val="auto"/>
          <w:sz w:val="26"/>
          <w:szCs w:val="26"/>
          <w:lang w:val="pt-BR"/>
        </w:rPr>
        <w:t xml:space="preserve">2. Extrai-se do acórdão vergastado que o entendimento do Tribunal de origem está em consonância com a orientação do Superior Tribunal de Justiça de que a base de cálculo da licença-prêmio é a remuneração do servidor e de que o abono de permanência </w:t>
      </w:r>
      <w:r w:rsidRPr="3B15A819" w:rsidR="05D33101">
        <w:rPr>
          <w:rFonts w:ascii="Times New Roman" w:hAnsi="Times New Roman" w:eastAsia="Times New Roman" w:cs="Times New Roman"/>
          <w:b w:val="1"/>
          <w:bCs w:val="1"/>
          <w:noProof w:val="0"/>
          <w:color w:val="auto"/>
          <w:sz w:val="26"/>
          <w:szCs w:val="26"/>
          <w:lang w:val="pt-BR"/>
        </w:rPr>
        <w:t>tem caráter remuneratório,</w:t>
      </w:r>
      <w:r w:rsidRPr="3B15A819" w:rsidR="05D33101">
        <w:rPr>
          <w:rFonts w:ascii="Times New Roman" w:hAnsi="Times New Roman" w:eastAsia="Times New Roman" w:cs="Times New Roman"/>
          <w:noProof w:val="0"/>
          <w:color w:val="auto"/>
          <w:sz w:val="26"/>
          <w:szCs w:val="26"/>
          <w:lang w:val="pt-BR"/>
        </w:rPr>
        <w:t xml:space="preserve"> razão pela qual é possível a inclusão do abono de permanência na base de cálculo da indenização pelo não gozo de licença-prêmio. 3. Recurso Especial não provido - </w:t>
      </w:r>
      <w:r w:rsidRPr="3B15A819" w:rsidR="05D33101">
        <w:rPr>
          <w:rFonts w:ascii="Times New Roman" w:hAnsi="Times New Roman" w:eastAsia="Times New Roman" w:cs="Times New Roman"/>
          <w:noProof w:val="0"/>
          <w:color w:val="auto"/>
          <w:sz w:val="26"/>
          <w:szCs w:val="26"/>
          <w:lang w:val="pt-BR"/>
        </w:rPr>
        <w:t>REsp</w:t>
      </w:r>
      <w:r w:rsidRPr="3B15A819" w:rsidR="05D33101">
        <w:rPr>
          <w:rFonts w:ascii="Times New Roman" w:hAnsi="Times New Roman" w:eastAsia="Times New Roman" w:cs="Times New Roman"/>
          <w:noProof w:val="0"/>
          <w:color w:val="auto"/>
          <w:sz w:val="26"/>
          <w:szCs w:val="26"/>
          <w:lang w:val="pt-BR"/>
        </w:rPr>
        <w:t xml:space="preserve"> 1576363/</w:t>
      </w:r>
      <w:r w:rsidRPr="3B15A819" w:rsidR="05D33101">
        <w:rPr>
          <w:rFonts w:ascii="Times New Roman" w:hAnsi="Times New Roman" w:eastAsia="Times New Roman" w:cs="Times New Roman"/>
          <w:noProof w:val="0"/>
          <w:color w:val="auto"/>
          <w:sz w:val="26"/>
          <w:szCs w:val="26"/>
          <w:lang w:val="pt-BR"/>
        </w:rPr>
        <w:t>RS,</w:t>
      </w:r>
      <w:r w:rsidRPr="3B15A819" w:rsidR="05D33101">
        <w:rPr>
          <w:rFonts w:ascii="Times New Roman" w:hAnsi="Times New Roman" w:eastAsia="Times New Roman" w:cs="Times New Roman"/>
          <w:noProof w:val="0"/>
          <w:color w:val="auto"/>
          <w:sz w:val="26"/>
          <w:szCs w:val="26"/>
          <w:lang w:val="pt-BR"/>
        </w:rPr>
        <w:t>DJe</w:t>
      </w:r>
      <w:r w:rsidRPr="3B15A819" w:rsidR="05D33101">
        <w:rPr>
          <w:rFonts w:ascii="Times New Roman" w:hAnsi="Times New Roman" w:eastAsia="Times New Roman" w:cs="Times New Roman"/>
          <w:noProof w:val="0"/>
          <w:color w:val="auto"/>
          <w:sz w:val="26"/>
          <w:szCs w:val="26"/>
          <w:lang w:val="pt-BR"/>
        </w:rPr>
        <w:t xml:space="preserve"> 19/11/2018”).</w:t>
      </w:r>
    </w:p>
    <w:p w:rsidR="3B15A819" w:rsidP="3B15A819" w:rsidRDefault="3B15A819" w14:paraId="69EFFC50" w14:textId="6D8E31E3">
      <w:pPr>
        <w:pStyle w:val="Normal"/>
        <w:tabs>
          <w:tab w:val="left" w:leader="none" w:pos="284"/>
        </w:tabs>
        <w:spacing w:after="0" w:afterAutospacing="off" w:line="240" w:lineRule="auto"/>
        <w:ind w:left="0" w:firstLine="1701"/>
        <w:jc w:val="both"/>
        <w:rPr>
          <w:rFonts w:ascii="Times New Roman" w:hAnsi="Times New Roman" w:eastAsia="Times New Roman" w:cs="Times New Roman"/>
          <w:noProof w:val="0"/>
          <w:color w:val="auto"/>
          <w:sz w:val="26"/>
          <w:szCs w:val="26"/>
          <w:lang w:val="pt-BR"/>
        </w:rPr>
      </w:pPr>
    </w:p>
    <w:p w:rsidR="11189D89" w:rsidP="3B15A819" w:rsidRDefault="11189D89" w14:paraId="24D1ACDB" w14:textId="1A6EB9BF">
      <w:pPr>
        <w:pStyle w:val="Normal"/>
        <w:tabs>
          <w:tab w:val="left" w:leader="none" w:pos="284"/>
        </w:tabs>
        <w:spacing w:after="0" w:afterAutospacing="off" w:line="240" w:lineRule="auto"/>
        <w:ind w:left="0" w:firstLine="1701"/>
        <w:jc w:val="both"/>
        <w:rPr>
          <w:rFonts w:ascii="Times New Roman" w:hAnsi="Times New Roman" w:eastAsia="Times New Roman" w:cs="Times New Roman"/>
          <w:noProof w:val="0"/>
          <w:color w:val="auto"/>
          <w:sz w:val="26"/>
          <w:szCs w:val="26"/>
          <w:lang w:val="pt-BR"/>
        </w:rPr>
      </w:pPr>
      <w:r w:rsidRPr="3B15A819" w:rsidR="11189D89">
        <w:rPr>
          <w:rFonts w:ascii="Times New Roman" w:hAnsi="Times New Roman" w:eastAsia="Times New Roman" w:cs="Times New Roman"/>
          <w:noProof w:val="0"/>
          <w:color w:val="auto"/>
          <w:sz w:val="26"/>
          <w:szCs w:val="26"/>
          <w:lang w:val="pt-BR"/>
        </w:rPr>
        <w:t>Ainda, consoante entendimento do Superior Tribunal de Justiça, em razão d</w:t>
      </w:r>
      <w:r w:rsidRPr="3B15A819" w:rsidR="3E9357B8">
        <w:rPr>
          <w:rFonts w:ascii="Times New Roman" w:hAnsi="Times New Roman" w:eastAsia="Times New Roman" w:cs="Times New Roman"/>
          <w:noProof w:val="0"/>
          <w:color w:val="auto"/>
          <w:sz w:val="26"/>
          <w:szCs w:val="26"/>
          <w:lang w:val="pt-BR"/>
        </w:rPr>
        <w:t xml:space="preserve">o caráter remuneratório do abono de permanência, este </w:t>
      </w:r>
      <w:r w:rsidRPr="3B15A819" w:rsidR="11189D89">
        <w:rPr>
          <w:rFonts w:ascii="Times New Roman" w:hAnsi="Times New Roman" w:eastAsia="Times New Roman" w:cs="Times New Roman"/>
          <w:noProof w:val="0"/>
          <w:color w:val="auto"/>
          <w:sz w:val="26"/>
          <w:szCs w:val="26"/>
          <w:lang w:val="pt-BR"/>
        </w:rPr>
        <w:t xml:space="preserve">integra a base de cálculo </w:t>
      </w:r>
      <w:r w:rsidRPr="3B15A819" w:rsidR="1DE5CA51">
        <w:rPr>
          <w:rFonts w:ascii="Times New Roman" w:hAnsi="Times New Roman" w:eastAsia="Times New Roman" w:cs="Times New Roman"/>
          <w:noProof w:val="0"/>
          <w:color w:val="auto"/>
          <w:sz w:val="26"/>
          <w:szCs w:val="26"/>
          <w:lang w:val="pt-BR"/>
        </w:rPr>
        <w:t>do terço constitucional de férias e da gratificação natalina, por incidirem tais rubricas sobre a remuneração dos servidores. Vejamos:</w:t>
      </w:r>
    </w:p>
    <w:p w:rsidR="3B15A819" w:rsidP="3B15A819" w:rsidRDefault="3B15A819" w14:paraId="50D92BF9" w14:textId="57EF3039">
      <w:pPr>
        <w:pStyle w:val="Normal"/>
        <w:tabs>
          <w:tab w:val="left" w:leader="none" w:pos="284"/>
        </w:tabs>
        <w:spacing w:after="0" w:afterAutospacing="off" w:line="240" w:lineRule="auto"/>
        <w:ind w:left="0" w:firstLine="1701"/>
        <w:jc w:val="both"/>
        <w:rPr>
          <w:rFonts w:ascii="Times New Roman" w:hAnsi="Times New Roman" w:eastAsia="Times New Roman" w:cs="Times New Roman"/>
          <w:noProof w:val="0"/>
          <w:color w:val="auto"/>
          <w:sz w:val="26"/>
          <w:szCs w:val="26"/>
          <w:lang w:val="pt-BR"/>
        </w:rPr>
      </w:pPr>
    </w:p>
    <w:p w:rsidR="1DE5CA51" w:rsidP="3B15A819" w:rsidRDefault="1DE5CA51" w14:paraId="2C8AE2DE" w14:textId="148D7F53">
      <w:pPr>
        <w:pStyle w:val="Normal"/>
        <w:tabs>
          <w:tab w:val="left" w:leader="none" w:pos="284"/>
        </w:tabs>
        <w:spacing w:after="0" w:afterAutospacing="off" w:line="240" w:lineRule="auto"/>
        <w:ind w:left="1710" w:hanging="9"/>
        <w:jc w:val="both"/>
        <w:rPr>
          <w:rFonts w:ascii="Times New Roman" w:hAnsi="Times New Roman" w:eastAsia="Times New Roman" w:cs="Times New Roman"/>
          <w:noProof w:val="0"/>
          <w:color w:val="auto"/>
          <w:sz w:val="22"/>
          <w:szCs w:val="22"/>
          <w:lang w:val="pt-BR"/>
        </w:rPr>
      </w:pPr>
      <w:r w:rsidRPr="3B15A819" w:rsidR="1DE5CA51">
        <w:rPr>
          <w:rFonts w:ascii="Times New Roman" w:hAnsi="Times New Roman" w:eastAsia="Times New Roman" w:cs="Times New Roman"/>
          <w:noProof w:val="0"/>
          <w:color w:val="auto"/>
          <w:sz w:val="22"/>
          <w:szCs w:val="22"/>
          <w:lang w:val="pt-BR"/>
        </w:rPr>
        <w:t>ADMINISTRATIVO. SERVIDOR. ABONO PERMANÊNCIA. NATUREZA REMUNERATÓRIA. BASE DE CÁLCULO. TERÇO CONSTITUCIONAL DE FÉRIAS. GRATIFICAÇÃO NATALINA. INCLUSÃO.</w:t>
      </w:r>
    </w:p>
    <w:p w:rsidR="1DE5CA51" w:rsidP="3B15A819" w:rsidRDefault="1DE5CA51" w14:paraId="1FCAA6E3" w14:textId="4B757D6F">
      <w:pPr>
        <w:pStyle w:val="Normal"/>
        <w:tabs>
          <w:tab w:val="left" w:leader="none" w:pos="284"/>
        </w:tabs>
        <w:spacing w:after="0" w:afterAutospacing="off" w:line="240" w:lineRule="auto"/>
        <w:ind w:left="1710" w:hanging="9"/>
        <w:jc w:val="both"/>
        <w:rPr>
          <w:rFonts w:ascii="Times New Roman" w:hAnsi="Times New Roman" w:eastAsia="Times New Roman" w:cs="Times New Roman"/>
          <w:noProof w:val="0"/>
          <w:color w:val="auto"/>
          <w:sz w:val="22"/>
          <w:szCs w:val="22"/>
          <w:lang w:val="pt-BR"/>
        </w:rPr>
      </w:pPr>
      <w:r w:rsidRPr="3B15A819" w:rsidR="1DE5CA51">
        <w:rPr>
          <w:rFonts w:ascii="Times New Roman" w:hAnsi="Times New Roman" w:eastAsia="Times New Roman" w:cs="Times New Roman"/>
          <w:noProof w:val="0"/>
          <w:color w:val="auto"/>
          <w:sz w:val="22"/>
          <w:szCs w:val="22"/>
          <w:lang w:val="pt-BR"/>
        </w:rPr>
        <w:t>1. O abono de permanência é uma vantagem de caráter permanente, incorporando-se ao patrimônio jurídico do servidor de forma irreversível, e insere-se no conceito de remuneração do cargo efetivo, devendo, por isso, integrar a base de cálculo do terço constitucional de férias e da gratificação natalina, por incidirem tais rubricas sobre a remuneração dos servidores.</w:t>
      </w:r>
    </w:p>
    <w:p w:rsidR="1DE5CA51" w:rsidP="3B15A819" w:rsidRDefault="1DE5CA51" w14:paraId="063B7668" w14:textId="1D7BA63F">
      <w:pPr>
        <w:pStyle w:val="Normal"/>
        <w:tabs>
          <w:tab w:val="left" w:leader="none" w:pos="284"/>
        </w:tabs>
        <w:spacing w:after="0" w:afterAutospacing="off" w:line="240" w:lineRule="auto"/>
        <w:ind w:left="1710" w:hanging="9"/>
        <w:jc w:val="both"/>
        <w:rPr>
          <w:rFonts w:ascii="Times New Roman" w:hAnsi="Times New Roman" w:eastAsia="Times New Roman" w:cs="Times New Roman"/>
          <w:noProof w:val="0"/>
          <w:color w:val="auto"/>
          <w:sz w:val="22"/>
          <w:szCs w:val="22"/>
          <w:lang w:val="pt-BR"/>
        </w:rPr>
      </w:pPr>
      <w:r w:rsidRPr="3B15A819" w:rsidR="1DE5CA51">
        <w:rPr>
          <w:rFonts w:ascii="Times New Roman" w:hAnsi="Times New Roman" w:eastAsia="Times New Roman" w:cs="Times New Roman"/>
          <w:noProof w:val="0"/>
          <w:color w:val="auto"/>
          <w:sz w:val="22"/>
          <w:szCs w:val="22"/>
          <w:lang w:val="pt-BR"/>
        </w:rPr>
        <w:t>2. Hipótese em que o acórdão proferido pelo Tribunal de origem destoa do entendimento desta Corte Superior.</w:t>
      </w:r>
    </w:p>
    <w:p w:rsidR="1DE5CA51" w:rsidP="3B15A819" w:rsidRDefault="1DE5CA51" w14:paraId="6D85FC3A" w14:textId="4E68F7D8">
      <w:pPr>
        <w:pStyle w:val="Normal"/>
        <w:tabs>
          <w:tab w:val="left" w:leader="none" w:pos="284"/>
        </w:tabs>
        <w:spacing w:after="0" w:afterAutospacing="off" w:line="240" w:lineRule="auto"/>
        <w:ind w:left="1710" w:hanging="9"/>
        <w:jc w:val="both"/>
        <w:rPr>
          <w:rFonts w:ascii="Times New Roman" w:hAnsi="Times New Roman" w:eastAsia="Times New Roman" w:cs="Times New Roman"/>
          <w:noProof w:val="0"/>
          <w:color w:val="auto"/>
          <w:sz w:val="22"/>
          <w:szCs w:val="22"/>
          <w:lang w:val="pt-BR"/>
        </w:rPr>
      </w:pPr>
      <w:r w:rsidRPr="3B15A819" w:rsidR="1DE5CA51">
        <w:rPr>
          <w:rFonts w:ascii="Times New Roman" w:hAnsi="Times New Roman" w:eastAsia="Times New Roman" w:cs="Times New Roman"/>
          <w:noProof w:val="0"/>
          <w:color w:val="auto"/>
          <w:sz w:val="22"/>
          <w:szCs w:val="22"/>
          <w:lang w:val="pt-BR"/>
        </w:rPr>
        <w:t>3. Agravo interno desprovido.</w:t>
      </w:r>
    </w:p>
    <w:p w:rsidR="1DE5CA51" w:rsidP="3B15A819" w:rsidRDefault="1DE5CA51" w14:paraId="6599F011" w14:textId="4A0061FE">
      <w:pPr>
        <w:pStyle w:val="Normal"/>
        <w:tabs>
          <w:tab w:val="left" w:leader="none" w:pos="284"/>
        </w:tabs>
        <w:spacing w:after="0" w:afterAutospacing="off" w:line="240" w:lineRule="auto"/>
        <w:ind w:left="1710" w:hanging="9"/>
        <w:jc w:val="both"/>
        <w:rPr>
          <w:rFonts w:ascii="Times New Roman" w:hAnsi="Times New Roman" w:eastAsia="Times New Roman" w:cs="Times New Roman"/>
          <w:noProof w:val="0"/>
          <w:color w:val="auto"/>
          <w:sz w:val="22"/>
          <w:szCs w:val="22"/>
          <w:lang w:val="pt-BR"/>
        </w:rPr>
      </w:pPr>
      <w:r w:rsidRPr="3B15A819" w:rsidR="1DE5CA51">
        <w:rPr>
          <w:rFonts w:ascii="Times New Roman" w:hAnsi="Times New Roman" w:eastAsia="Times New Roman" w:cs="Times New Roman"/>
          <w:noProof w:val="0"/>
          <w:color w:val="auto"/>
          <w:sz w:val="22"/>
          <w:szCs w:val="22"/>
          <w:lang w:val="pt-BR"/>
        </w:rPr>
        <w:t>(</w:t>
      </w:r>
      <w:r w:rsidRPr="3B15A819" w:rsidR="1DE5CA51">
        <w:rPr>
          <w:rFonts w:ascii="Times New Roman" w:hAnsi="Times New Roman" w:eastAsia="Times New Roman" w:cs="Times New Roman"/>
          <w:noProof w:val="0"/>
          <w:color w:val="auto"/>
          <w:sz w:val="22"/>
          <w:szCs w:val="22"/>
          <w:lang w:val="pt-BR"/>
        </w:rPr>
        <w:t>AgInt</w:t>
      </w:r>
      <w:r w:rsidRPr="3B15A819" w:rsidR="1DE5CA51">
        <w:rPr>
          <w:rFonts w:ascii="Times New Roman" w:hAnsi="Times New Roman" w:eastAsia="Times New Roman" w:cs="Times New Roman"/>
          <w:noProof w:val="0"/>
          <w:color w:val="auto"/>
          <w:sz w:val="22"/>
          <w:szCs w:val="22"/>
          <w:lang w:val="pt-BR"/>
        </w:rPr>
        <w:t xml:space="preserve"> no REsp n. 1.971.130/RN, relator Ministro Gurgel de Faria, Primeira Turma, julgado em 4/9/2023, </w:t>
      </w:r>
      <w:r w:rsidRPr="3B15A819" w:rsidR="1DE5CA51">
        <w:rPr>
          <w:rFonts w:ascii="Times New Roman" w:hAnsi="Times New Roman" w:eastAsia="Times New Roman" w:cs="Times New Roman"/>
          <w:noProof w:val="0"/>
          <w:color w:val="auto"/>
          <w:sz w:val="22"/>
          <w:szCs w:val="22"/>
          <w:lang w:val="pt-BR"/>
        </w:rPr>
        <w:t>DJe</w:t>
      </w:r>
      <w:r w:rsidRPr="3B15A819" w:rsidR="1DE5CA51">
        <w:rPr>
          <w:rFonts w:ascii="Times New Roman" w:hAnsi="Times New Roman" w:eastAsia="Times New Roman" w:cs="Times New Roman"/>
          <w:noProof w:val="0"/>
          <w:color w:val="auto"/>
          <w:sz w:val="22"/>
          <w:szCs w:val="22"/>
          <w:lang w:val="pt-BR"/>
        </w:rPr>
        <w:t xml:space="preserve"> de 6/9/2023.)</w:t>
      </w:r>
    </w:p>
    <w:p w:rsidR="3B15A819" w:rsidP="3B15A819" w:rsidRDefault="3B15A819" w14:paraId="1AF7AD20" w14:textId="176610C3">
      <w:pPr>
        <w:pStyle w:val="Normal"/>
        <w:tabs>
          <w:tab w:val="left" w:leader="none" w:pos="284"/>
        </w:tabs>
        <w:spacing w:after="0" w:afterAutospacing="off" w:line="240" w:lineRule="auto"/>
        <w:ind w:left="0" w:firstLine="1701"/>
        <w:jc w:val="both"/>
        <w:rPr>
          <w:rFonts w:ascii="Times New Roman" w:hAnsi="Times New Roman" w:eastAsia="Times New Roman" w:cs="Times New Roman"/>
          <w:noProof w:val="0"/>
          <w:color w:val="auto"/>
          <w:sz w:val="26"/>
          <w:szCs w:val="26"/>
          <w:lang w:val="pt-BR"/>
        </w:rPr>
      </w:pPr>
    </w:p>
    <w:p w:rsidR="05D33101" w:rsidP="3B15A819" w:rsidRDefault="05D33101" w14:paraId="2C97AAC8" w14:textId="73177ED3">
      <w:pPr>
        <w:pStyle w:val="Normal"/>
        <w:tabs>
          <w:tab w:val="left" w:leader="none" w:pos="284"/>
        </w:tabs>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auto"/>
          <w:sz w:val="26"/>
          <w:szCs w:val="26"/>
          <w:lang w:val="pt-BR"/>
        </w:rPr>
      </w:pPr>
      <w:r w:rsidRPr="3B15A819" w:rsidR="05D33101">
        <w:rPr>
          <w:rFonts w:ascii="Times New Roman" w:hAnsi="Times New Roman" w:eastAsia="Times New Roman" w:cs="Times New Roman"/>
          <w:noProof w:val="0"/>
          <w:color w:val="auto"/>
          <w:sz w:val="26"/>
          <w:szCs w:val="26"/>
          <w:lang w:val="pt-BR"/>
        </w:rPr>
        <w:t xml:space="preserve">Por isso, a adequada leitura da legislação, em conformidade com a doutrina e a jurisprudência, demonstra que ele </w:t>
      </w:r>
      <w:r w:rsidRPr="3B15A819" w:rsidR="05D33101">
        <w:rPr>
          <w:rFonts w:ascii="Times New Roman" w:hAnsi="Times New Roman" w:eastAsia="Times New Roman" w:cs="Times New Roman"/>
          <w:b w:val="1"/>
          <w:bCs w:val="1"/>
          <w:noProof w:val="0"/>
          <w:color w:val="auto"/>
          <w:sz w:val="26"/>
          <w:szCs w:val="26"/>
          <w:lang w:val="pt-BR"/>
        </w:rPr>
        <w:t>deve refletir no terço de férias e na gratificação natalina</w:t>
      </w:r>
      <w:r w:rsidRPr="3B15A819" w:rsidR="05D33101">
        <w:rPr>
          <w:rFonts w:ascii="Times New Roman" w:hAnsi="Times New Roman" w:eastAsia="Times New Roman" w:cs="Times New Roman"/>
          <w:noProof w:val="0"/>
          <w:color w:val="auto"/>
          <w:sz w:val="26"/>
          <w:szCs w:val="26"/>
          <w:lang w:val="pt-BR"/>
        </w:rPr>
        <w:t xml:space="preserve">. Inclusive, </w:t>
      </w:r>
      <w:r w:rsidRPr="3B15A819" w:rsidR="0E6267EC">
        <w:rPr>
          <w:rFonts w:ascii="Times New Roman" w:hAnsi="Times New Roman" w:eastAsia="Times New Roman" w:cs="Times New Roman"/>
          <w:noProof w:val="0"/>
          <w:color w:val="auto"/>
          <w:sz w:val="26"/>
          <w:szCs w:val="26"/>
          <w:lang w:val="pt-BR"/>
        </w:rPr>
        <w:t xml:space="preserve">em conformidade com o entendimento exarado pelo E. STJ, </w:t>
      </w:r>
      <w:r w:rsidRPr="3B15A819" w:rsidR="05D33101">
        <w:rPr>
          <w:rFonts w:ascii="Times New Roman" w:hAnsi="Times New Roman" w:eastAsia="Times New Roman" w:cs="Times New Roman"/>
          <w:noProof w:val="0"/>
          <w:color w:val="auto"/>
          <w:sz w:val="26"/>
          <w:szCs w:val="26"/>
          <w:lang w:val="pt-BR"/>
        </w:rPr>
        <w:t xml:space="preserve">diversos </w:t>
      </w:r>
      <w:r w:rsidRPr="3B15A819" w:rsidR="05D33101">
        <w:rPr>
          <w:rFonts w:ascii="Times New Roman" w:hAnsi="Times New Roman" w:eastAsia="Times New Roman" w:cs="Times New Roman"/>
          <w:b w:val="0"/>
          <w:bCs w:val="0"/>
          <w:i w:val="0"/>
          <w:iCs w:val="0"/>
          <w:caps w:val="0"/>
          <w:smallCaps w:val="0"/>
          <w:noProof w:val="0"/>
          <w:color w:val="auto"/>
          <w:sz w:val="26"/>
          <w:szCs w:val="26"/>
          <w:lang w:val="pt-BR"/>
        </w:rPr>
        <w:t>tribunais têm reconhecido</w:t>
      </w:r>
      <w:r w:rsidRPr="3B15A819" w:rsidR="05D33101">
        <w:rPr>
          <w:rFonts w:ascii="Times New Roman" w:hAnsi="Times New Roman" w:eastAsia="Times New Roman" w:cs="Times New Roman"/>
          <w:b w:val="0"/>
          <w:bCs w:val="0"/>
          <w:i w:val="0"/>
          <w:iCs w:val="0"/>
          <w:caps w:val="0"/>
          <w:smallCaps w:val="0"/>
          <w:noProof w:val="0"/>
          <w:color w:val="auto"/>
          <w:sz w:val="26"/>
          <w:szCs w:val="26"/>
          <w:lang w:val="pt-BR"/>
        </w:rPr>
        <w:t xml:space="preserve"> a ilegalidade em se subtrair a parcela do cálculo de verbas que consideram a remuneração do servidor, haja vista que, além de possuir natureza remuneratória, não é verba transitória. A exemplo das decisões abaixo:</w:t>
      </w:r>
      <w:r w:rsidRPr="3B15A819" w:rsidR="05D33101">
        <w:rPr>
          <w:rFonts w:ascii="Times New Roman" w:hAnsi="Times New Roman" w:eastAsia="Times New Roman" w:cs="Times New Roman"/>
          <w:b w:val="0"/>
          <w:bCs w:val="0"/>
          <w:i w:val="0"/>
          <w:iCs w:val="0"/>
          <w:caps w:val="0"/>
          <w:smallCaps w:val="0"/>
          <w:noProof w:val="0"/>
          <w:color w:val="auto"/>
          <w:sz w:val="26"/>
          <w:szCs w:val="26"/>
          <w:lang w:val="pt-BR"/>
        </w:rPr>
        <w:t xml:space="preserve"> </w:t>
      </w:r>
    </w:p>
    <w:p w:rsidR="05D33101" w:rsidP="05D33101" w:rsidRDefault="05D33101" w14:paraId="0A9F9B06" w14:textId="6D4E6B30">
      <w:pPr>
        <w:pStyle w:val="Normal"/>
        <w:tabs>
          <w:tab w:val="left" w:leader="none" w:pos="284"/>
        </w:tabs>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auto"/>
          <w:sz w:val="22"/>
          <w:szCs w:val="22"/>
          <w:lang w:val="pt-BR"/>
        </w:rPr>
      </w:pPr>
      <w:r w:rsidRPr="05D33101" w:rsidR="05D33101">
        <w:rPr>
          <w:rFonts w:ascii="Times New Roman" w:hAnsi="Times New Roman" w:eastAsia="Times New Roman" w:cs="Times New Roman"/>
          <w:noProof w:val="0"/>
          <w:color w:val="auto"/>
          <w:sz w:val="26"/>
          <w:szCs w:val="26"/>
          <w:lang w:val="pt-BR"/>
        </w:rPr>
        <w:t xml:space="preserve"> </w:t>
      </w:r>
    </w:p>
    <w:p w:rsidR="05D33101" w:rsidP="05D33101" w:rsidRDefault="05D33101" w14:paraId="42F067A2" w14:textId="4B729092">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0"/>
          <w:szCs w:val="20"/>
          <w:lang w:val="pt-BR"/>
        </w:rPr>
      </w:pPr>
      <w:r w:rsidRPr="05D33101" w:rsidR="05D33101">
        <w:rPr>
          <w:rFonts w:ascii="Times New Roman" w:hAnsi="Times New Roman" w:eastAsia="Times New Roman" w:cs="Times New Roman"/>
          <w:noProof w:val="0"/>
          <w:sz w:val="20"/>
          <w:szCs w:val="20"/>
          <w:lang w:val="pt-BR"/>
        </w:rPr>
        <w:t xml:space="preserve">MANDADO DE SEGURANÇA. SINDIRETA. ABONO DE PERMANÊNCIA. VERBA DE NATUREZA REMUNERATÓRIA. </w:t>
      </w:r>
      <w:r w:rsidRPr="05D33101" w:rsidR="05D33101">
        <w:rPr>
          <w:rFonts w:ascii="Times New Roman" w:hAnsi="Times New Roman" w:eastAsia="Times New Roman" w:cs="Times New Roman"/>
          <w:b w:val="1"/>
          <w:bCs w:val="1"/>
          <w:noProof w:val="0"/>
          <w:sz w:val="20"/>
          <w:szCs w:val="20"/>
          <w:lang w:val="pt-BR"/>
        </w:rPr>
        <w:t>CÔMPUTO NO CÁLCULO DO TERÇO DE FÉRIAS. DIREITO LÍQUIDO E CERTO.</w:t>
      </w:r>
      <w:r w:rsidRPr="05D33101" w:rsidR="05D33101">
        <w:rPr>
          <w:rFonts w:ascii="Times New Roman" w:hAnsi="Times New Roman" w:eastAsia="Times New Roman" w:cs="Times New Roman"/>
          <w:noProof w:val="0"/>
          <w:sz w:val="20"/>
          <w:szCs w:val="20"/>
          <w:lang w:val="pt-BR"/>
        </w:rPr>
        <w:t xml:space="preserve"> </w:t>
      </w:r>
    </w:p>
    <w:p w:rsidR="05D33101" w:rsidP="05D33101" w:rsidRDefault="05D33101" w14:paraId="0D741AAC" w14:textId="40AD9860">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1. O abono de permanência, consoante entendimento firmado pelo colendo STJ, ao julgar o </w:t>
      </w:r>
      <w:proofErr w:type="spellStart"/>
      <w:r w:rsidRPr="05D33101" w:rsidR="05D33101">
        <w:rPr>
          <w:rFonts w:ascii="Times New Roman" w:hAnsi="Times New Roman" w:eastAsia="Times New Roman" w:cs="Times New Roman"/>
          <w:noProof w:val="0"/>
          <w:sz w:val="22"/>
          <w:szCs w:val="22"/>
          <w:lang w:val="pt-BR"/>
        </w:rPr>
        <w:t>REsp</w:t>
      </w:r>
      <w:proofErr w:type="spellEnd"/>
      <w:r w:rsidRPr="05D33101" w:rsidR="05D33101">
        <w:rPr>
          <w:rFonts w:ascii="Times New Roman" w:hAnsi="Times New Roman" w:eastAsia="Times New Roman" w:cs="Times New Roman"/>
          <w:noProof w:val="0"/>
          <w:sz w:val="22"/>
          <w:szCs w:val="22"/>
          <w:lang w:val="pt-BR"/>
        </w:rPr>
        <w:t xml:space="preserve"> 1.192.556/PE, sob o rito dos recursos repetitivos, é verba que ostenta natureza remuneratória, de forma que os servidores substituídos ostentam direito líquido </w:t>
      </w:r>
      <w:r w:rsidRPr="05D33101" w:rsidR="05D33101">
        <w:rPr>
          <w:rFonts w:ascii="Times New Roman" w:hAnsi="Times New Roman" w:eastAsia="Times New Roman" w:cs="Times New Roman"/>
          <w:b w:val="1"/>
          <w:bCs w:val="1"/>
          <w:noProof w:val="0"/>
          <w:sz w:val="22"/>
          <w:szCs w:val="22"/>
          <w:lang w:val="pt-BR"/>
        </w:rPr>
        <w:t>e certo ao seu cômputo no cálculo do terço constitucional de férias</w:t>
      </w:r>
      <w:r w:rsidRPr="05D33101" w:rsidR="05D33101">
        <w:rPr>
          <w:rFonts w:ascii="Times New Roman" w:hAnsi="Times New Roman" w:eastAsia="Times New Roman" w:cs="Times New Roman"/>
          <w:noProof w:val="0"/>
          <w:sz w:val="22"/>
          <w:szCs w:val="22"/>
          <w:lang w:val="pt-BR"/>
        </w:rPr>
        <w:t xml:space="preserve">. </w:t>
      </w:r>
    </w:p>
    <w:p w:rsidR="05D33101" w:rsidP="05D33101" w:rsidRDefault="05D33101" w14:paraId="37F2EB7F" w14:textId="30E32BC3">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2. Ordem concedida. (TJDFT, Conselho Especial, MS: 0717629- 47.2018.8.07.0000, Relator: Desembargador Arnaldo </w:t>
      </w:r>
      <w:proofErr w:type="spellStart"/>
      <w:r w:rsidRPr="05D33101" w:rsidR="05D33101">
        <w:rPr>
          <w:rFonts w:ascii="Times New Roman" w:hAnsi="Times New Roman" w:eastAsia="Times New Roman" w:cs="Times New Roman"/>
          <w:noProof w:val="0"/>
          <w:sz w:val="22"/>
          <w:szCs w:val="22"/>
          <w:lang w:val="pt-BR"/>
        </w:rPr>
        <w:t>Camanho</w:t>
      </w:r>
      <w:proofErr w:type="spellEnd"/>
      <w:r w:rsidRPr="05D33101" w:rsidR="05D33101">
        <w:rPr>
          <w:rFonts w:ascii="Times New Roman" w:hAnsi="Times New Roman" w:eastAsia="Times New Roman" w:cs="Times New Roman"/>
          <w:noProof w:val="0"/>
          <w:sz w:val="22"/>
          <w:szCs w:val="22"/>
          <w:lang w:val="pt-BR"/>
        </w:rPr>
        <w:t>, Data de Julgamento: 25/06/2019)</w:t>
      </w:r>
    </w:p>
    <w:p w:rsidR="05D33101" w:rsidP="05D33101" w:rsidRDefault="05D33101" w14:paraId="5D881020" w14:textId="28A59021">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555774A0" w14:textId="20FE6954">
      <w:pPr>
        <w:pStyle w:val="Normal"/>
        <w:tabs>
          <w:tab w:val="left" w:leader="none" w:pos="284"/>
        </w:tabs>
        <w:spacing w:after="0" w:afterAutospacing="off" w:line="240" w:lineRule="auto"/>
        <w:ind w:left="1701" w:firstLine="0"/>
        <w:jc w:val="both"/>
        <w:rPr>
          <w:rFonts w:ascii="Times New Roman" w:hAnsi="Times New Roman" w:eastAsia="Times New Roman" w:cs="Times New Roman"/>
          <w:b w:val="0"/>
          <w:bCs w:val="0"/>
          <w:i w:val="0"/>
          <w:iCs w:val="0"/>
          <w:caps w:val="0"/>
          <w:smallCaps w:val="0"/>
          <w:noProof w:val="0"/>
          <w:color w:val="auto"/>
          <w:sz w:val="22"/>
          <w:szCs w:val="22"/>
          <w:lang w:val="pt-BR"/>
        </w:rPr>
      </w:pP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 xml:space="preserve">Apelação cível. Conversão de licença prêmio não gozada em pecúnia. Servidora pública aposentada. Sentença de procedência. Recurso do Réu objetivando a reforma da sentença para que a indenização tenha como base de cálculo a última remuneração da Autora, quando em atividade, excluindo-se as parcelas transitórias que eventualmente integrassem os seus vencimentos. </w:t>
      </w:r>
    </w:p>
    <w:p w:rsidR="05D33101" w:rsidP="05D33101" w:rsidRDefault="05D33101" w14:paraId="3CF2386D" w14:textId="5FB5CA9E">
      <w:pPr>
        <w:pStyle w:val="Normal"/>
        <w:tabs>
          <w:tab w:val="left" w:leader="none" w:pos="284"/>
        </w:tabs>
        <w:spacing w:after="0" w:afterAutospacing="off" w:line="240" w:lineRule="auto"/>
        <w:ind w:left="1701" w:firstLine="0"/>
        <w:jc w:val="both"/>
        <w:rPr>
          <w:rFonts w:ascii="Times New Roman" w:hAnsi="Times New Roman" w:eastAsia="Times New Roman" w:cs="Times New Roman"/>
          <w:b w:val="1"/>
          <w:bCs w:val="1"/>
          <w:i w:val="0"/>
          <w:iCs w:val="0"/>
          <w:caps w:val="0"/>
          <w:smallCaps w:val="0"/>
          <w:noProof w:val="0"/>
          <w:color w:val="auto"/>
          <w:sz w:val="22"/>
          <w:szCs w:val="22"/>
          <w:lang w:val="pt-BR"/>
        </w:rPr>
      </w:pPr>
      <w:r w:rsidRPr="05D33101" w:rsidR="05D33101">
        <w:rPr>
          <w:rFonts w:ascii="Times New Roman" w:hAnsi="Times New Roman" w:eastAsia="Times New Roman" w:cs="Times New Roman"/>
          <w:b w:val="1"/>
          <w:bCs w:val="1"/>
          <w:i w:val="0"/>
          <w:iCs w:val="0"/>
          <w:caps w:val="0"/>
          <w:smallCaps w:val="0"/>
          <w:noProof w:val="0"/>
          <w:color w:val="auto"/>
          <w:sz w:val="22"/>
          <w:szCs w:val="22"/>
          <w:lang w:val="pt-BR"/>
        </w:rPr>
        <w:t>Abono permanência</w:t>
      </w: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 xml:space="preserve"> e demais gratificações que seriam pagas mesmo que o servidor efetivamente gozasse a licença prêmio </w:t>
      </w:r>
      <w:r w:rsidRPr="05D33101" w:rsidR="05D33101">
        <w:rPr>
          <w:rFonts w:ascii="Times New Roman" w:hAnsi="Times New Roman" w:eastAsia="Times New Roman" w:cs="Times New Roman"/>
          <w:b w:val="1"/>
          <w:bCs w:val="1"/>
          <w:i w:val="0"/>
          <w:iCs w:val="0"/>
          <w:caps w:val="0"/>
          <w:smallCaps w:val="0"/>
          <w:noProof w:val="0"/>
          <w:color w:val="auto"/>
          <w:sz w:val="22"/>
          <w:szCs w:val="22"/>
          <w:lang w:val="pt-BR"/>
        </w:rPr>
        <w:t>não ostentam caráter transitório.</w:t>
      </w:r>
    </w:p>
    <w:p w:rsidR="05D33101" w:rsidP="05D33101" w:rsidRDefault="05D33101" w14:paraId="0A82E9F0" w14:textId="253CC473">
      <w:pPr>
        <w:pStyle w:val="Normal"/>
        <w:tabs>
          <w:tab w:val="left" w:leader="none" w:pos="284"/>
        </w:tabs>
        <w:spacing w:after="0" w:afterAutospacing="off" w:line="240" w:lineRule="auto"/>
        <w:ind w:left="1701" w:firstLine="0"/>
        <w:jc w:val="both"/>
        <w:rPr>
          <w:rFonts w:ascii="Times New Roman" w:hAnsi="Times New Roman" w:eastAsia="Times New Roman" w:cs="Times New Roman"/>
          <w:b w:val="0"/>
          <w:bCs w:val="0"/>
          <w:i w:val="0"/>
          <w:iCs w:val="0"/>
          <w:caps w:val="0"/>
          <w:smallCaps w:val="0"/>
          <w:noProof w:val="0"/>
          <w:color w:val="auto"/>
          <w:sz w:val="22"/>
          <w:szCs w:val="22"/>
          <w:lang w:val="pt-BR"/>
        </w:rPr>
      </w:pP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 xml:space="preserve"> O cálculo da verba indenizatória deve ter por base a </w:t>
      </w:r>
      <w:r w:rsidRPr="05D33101" w:rsidR="05D33101">
        <w:rPr>
          <w:rFonts w:ascii="Times New Roman" w:hAnsi="Times New Roman" w:eastAsia="Times New Roman" w:cs="Times New Roman"/>
          <w:b w:val="1"/>
          <w:bCs w:val="1"/>
          <w:i w:val="0"/>
          <w:iCs w:val="0"/>
          <w:caps w:val="0"/>
          <w:smallCaps w:val="0"/>
          <w:noProof w:val="0"/>
          <w:color w:val="auto"/>
          <w:sz w:val="22"/>
          <w:szCs w:val="22"/>
          <w:lang w:val="pt-BR"/>
        </w:rPr>
        <w:t>remuneração</w:t>
      </w: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 xml:space="preserve"> percebida pela Autora na data da passagem para a inatividade, excluídas apenas as parcelas que não seriam devidas no caso de efetivo gozo da licença prêmio.</w:t>
      </w:r>
    </w:p>
    <w:p w:rsidR="05D33101" w:rsidP="05D33101" w:rsidRDefault="05D33101" w14:paraId="0E9E58A2" w14:textId="2E541C95">
      <w:pPr>
        <w:pStyle w:val="Normal"/>
        <w:tabs>
          <w:tab w:val="left" w:leader="none" w:pos="284"/>
        </w:tabs>
        <w:spacing w:after="0" w:afterAutospacing="off" w:line="240" w:lineRule="auto"/>
        <w:ind w:left="1701" w:firstLine="0"/>
        <w:jc w:val="both"/>
        <w:rPr>
          <w:rFonts w:ascii="Times New Roman" w:hAnsi="Times New Roman" w:eastAsia="Times New Roman" w:cs="Times New Roman"/>
          <w:b w:val="0"/>
          <w:bCs w:val="0"/>
          <w:i w:val="0"/>
          <w:iCs w:val="0"/>
          <w:caps w:val="0"/>
          <w:smallCaps w:val="0"/>
          <w:noProof w:val="0"/>
          <w:color w:val="auto"/>
          <w:sz w:val="22"/>
          <w:szCs w:val="22"/>
          <w:lang w:val="pt-BR"/>
        </w:rPr>
      </w:pPr>
      <w:r w:rsidRPr="05D33101" w:rsidR="05D33101">
        <w:rPr>
          <w:rFonts w:ascii="Times New Roman" w:hAnsi="Times New Roman" w:eastAsia="Times New Roman" w:cs="Times New Roman"/>
          <w:b w:val="1"/>
          <w:bCs w:val="1"/>
          <w:i w:val="0"/>
          <w:iCs w:val="0"/>
          <w:caps w:val="0"/>
          <w:smallCaps w:val="0"/>
          <w:noProof w:val="0"/>
          <w:color w:val="auto"/>
          <w:sz w:val="22"/>
          <w:szCs w:val="22"/>
          <w:lang w:val="pt-BR"/>
        </w:rPr>
        <w:t xml:space="preserve"> Precedentes desta Corte e do STJ</w:t>
      </w: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 xml:space="preserve">. </w:t>
      </w:r>
    </w:p>
    <w:p w:rsidR="05D33101" w:rsidP="05D33101" w:rsidRDefault="05D33101" w14:paraId="3C537C4E" w14:textId="68377B8F">
      <w:pPr>
        <w:pStyle w:val="Normal"/>
        <w:tabs>
          <w:tab w:val="left" w:leader="none" w:pos="284"/>
        </w:tabs>
        <w:spacing w:after="0" w:afterAutospacing="off" w:line="240" w:lineRule="auto"/>
        <w:ind w:left="1701" w:firstLine="0"/>
        <w:jc w:val="both"/>
        <w:rPr>
          <w:rFonts w:ascii="Times New Roman" w:hAnsi="Times New Roman" w:eastAsia="Times New Roman" w:cs="Times New Roman"/>
          <w:b w:val="0"/>
          <w:bCs w:val="0"/>
          <w:i w:val="0"/>
          <w:iCs w:val="0"/>
          <w:caps w:val="0"/>
          <w:smallCaps w:val="0"/>
          <w:noProof w:val="0"/>
          <w:color w:val="auto"/>
          <w:sz w:val="22"/>
          <w:szCs w:val="22"/>
          <w:lang w:val="pt-BR"/>
        </w:rPr>
      </w:pP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Recurso parcialmente provido (</w:t>
      </w: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 xml:space="preserve">TRIBUNAL DE JUSTIÇA DO ESTADO DO RIO DE JANEIROSÉTIMA CÂMARA CÍVEL, </w:t>
      </w:r>
      <w:r w:rsidRPr="05D33101" w:rsidR="05D33101">
        <w:rPr>
          <w:rFonts w:ascii="Times New Roman" w:hAnsi="Times New Roman" w:eastAsia="Times New Roman" w:cs="Times New Roman"/>
          <w:b w:val="0"/>
          <w:bCs w:val="0"/>
          <w:i w:val="0"/>
          <w:iCs w:val="0"/>
          <w:caps w:val="0"/>
          <w:smallCaps w:val="0"/>
          <w:noProof w:val="0"/>
          <w:color w:val="auto"/>
          <w:sz w:val="22"/>
          <w:szCs w:val="22"/>
          <w:lang w:val="pt-BR"/>
        </w:rPr>
        <w:t>Apelação Cível nº 0380958-67.2015.8.19.0001, 26 de abril de 2017) (grifou-se)</w:t>
      </w:r>
    </w:p>
    <w:p w:rsidR="05D33101" w:rsidP="05D33101" w:rsidRDefault="05D33101" w14:paraId="2A309751" w14:textId="1E20C847">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18B34B30" w14:textId="025AB4D1">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ADMINISTRATIVO. AÇÃO CIVIL PÚBLICA. SERVIDOR PÚBLICO FEDERAL. ADICIONAL DE FÉRIAS. BASE DE CÁLCULO. ABONO DE PERMANÊNCIA. NATUREZA REMUNERATÓRIA. INTEGRAÇÃO DEVIDA.</w:t>
      </w:r>
    </w:p>
    <w:p w:rsidR="05D33101" w:rsidP="05D33101" w:rsidRDefault="05D33101" w14:paraId="713A9DD8" w14:textId="04BF6160">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 1. De acordo com o inciso XVII do artigo 7.º da Constituição Federal e o artigo 76 da Lei n.º 8.112/19903, o cálculo do adicional de férias é feito com base na remuneração regularmente recebida pelo servidor público que, nos termos do caput do artigo 41 da Lei n.º 8.112/1990, é o vencimento do cargo efetivo, acrescido das vantagens pecuniárias permanentes estabelecidas em lei. </w:t>
      </w:r>
    </w:p>
    <w:p w:rsidR="05D33101" w:rsidP="05D33101" w:rsidRDefault="05D33101" w14:paraId="00E54074" w14:textId="5A20D630">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2. O abono de permanência é rubrica paga ao servidor público que, tendo implementado os requisitos necessários à aposentadoria, opta por permanecer em atividade, conforme </w:t>
      </w:r>
      <w:proofErr w:type="spellStart"/>
      <w:r w:rsidRPr="05D33101" w:rsidR="05D33101">
        <w:rPr>
          <w:rFonts w:ascii="Times New Roman" w:hAnsi="Times New Roman" w:eastAsia="Times New Roman" w:cs="Times New Roman"/>
          <w:noProof w:val="0"/>
          <w:sz w:val="22"/>
          <w:szCs w:val="22"/>
          <w:lang w:val="pt-BR"/>
        </w:rPr>
        <w:t>arts</w:t>
      </w:r>
      <w:proofErr w:type="spellEnd"/>
      <w:r w:rsidRPr="05D33101" w:rsidR="05D33101">
        <w:rPr>
          <w:rFonts w:ascii="Times New Roman" w:hAnsi="Times New Roman" w:eastAsia="Times New Roman" w:cs="Times New Roman"/>
          <w:noProof w:val="0"/>
          <w:sz w:val="22"/>
          <w:szCs w:val="22"/>
          <w:lang w:val="pt-BR"/>
        </w:rPr>
        <w:t xml:space="preserve">. 40, § 19, da CF; 3º, § 1º, da EC 41/2003; e 7º da Lei 10.887/2004. </w:t>
      </w:r>
    </w:p>
    <w:p w:rsidR="05D33101" w:rsidP="05D33101" w:rsidRDefault="05D33101" w14:paraId="40ECF3DB" w14:textId="060CE663">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3. A natureza jurídica do abono de permanência foi objeto de longa controvérsia na jurisprudência pátria, vindo a ser finalmente pacificada, no sentido da natureza remuneratória. Precedentes do STJ. </w:t>
      </w:r>
    </w:p>
    <w:p w:rsidR="05D33101" w:rsidP="05D33101" w:rsidRDefault="05D33101" w14:paraId="21B032AD" w14:textId="4973BFD5">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4. O fato de sobre o abono de permanência não incidir contribuição previdenciária não influencia sua natureza jurídica, que permanece sendo parcela remuneratória, como vantagem permanente. </w:t>
      </w:r>
    </w:p>
    <w:p w:rsidR="05D33101" w:rsidP="05D33101" w:rsidRDefault="05D33101" w14:paraId="68EDA1A8" w14:textId="077A5556">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65A8789" w:rsidR="05D33101">
        <w:rPr>
          <w:rFonts w:ascii="Times New Roman" w:hAnsi="Times New Roman" w:eastAsia="Times New Roman" w:cs="Times New Roman"/>
          <w:noProof w:val="0"/>
          <w:sz w:val="22"/>
          <w:szCs w:val="22"/>
          <w:lang w:val="pt-BR"/>
        </w:rPr>
        <w:t xml:space="preserve">5. Face à natureza remuneratória da parcela relativa ao abono de permanência, esta </w:t>
      </w:r>
      <w:r w:rsidRPr="065A8789" w:rsidR="05D33101">
        <w:rPr>
          <w:rFonts w:ascii="Times New Roman" w:hAnsi="Times New Roman" w:eastAsia="Times New Roman" w:cs="Times New Roman"/>
          <w:b w:val="1"/>
          <w:bCs w:val="1"/>
          <w:noProof w:val="0"/>
          <w:sz w:val="22"/>
          <w:szCs w:val="22"/>
          <w:lang w:val="pt-BR"/>
        </w:rPr>
        <w:t>deve integrar, para todos os efeitos, a base para o cálculo do terço constitucional de férias</w:t>
      </w:r>
      <w:r w:rsidRPr="065A8789" w:rsidR="05D33101">
        <w:rPr>
          <w:rFonts w:ascii="Times New Roman" w:hAnsi="Times New Roman" w:eastAsia="Times New Roman" w:cs="Times New Roman"/>
          <w:noProof w:val="0"/>
          <w:sz w:val="22"/>
          <w:szCs w:val="22"/>
          <w:lang w:val="pt-BR"/>
        </w:rPr>
        <w:t xml:space="preserve">. (TRF4, Relatora Desembargadora Federal Vânia </w:t>
      </w:r>
      <w:proofErr w:type="spellStart"/>
      <w:r w:rsidRPr="065A8789" w:rsidR="05D33101">
        <w:rPr>
          <w:rFonts w:ascii="Times New Roman" w:hAnsi="Times New Roman" w:eastAsia="Times New Roman" w:cs="Times New Roman"/>
          <w:noProof w:val="0"/>
          <w:sz w:val="22"/>
          <w:szCs w:val="22"/>
          <w:lang w:val="pt-BR"/>
        </w:rPr>
        <w:t>Hack</w:t>
      </w:r>
      <w:proofErr w:type="spellEnd"/>
      <w:r w:rsidRPr="065A8789" w:rsidR="05D33101">
        <w:rPr>
          <w:rFonts w:ascii="Times New Roman" w:hAnsi="Times New Roman" w:eastAsia="Times New Roman" w:cs="Times New Roman"/>
          <w:noProof w:val="0"/>
          <w:sz w:val="22"/>
          <w:szCs w:val="22"/>
          <w:lang w:val="pt-BR"/>
        </w:rPr>
        <w:t xml:space="preserve"> de Almeida, 3ª Turma, Apelação nº 5062655-86.2015.4.04.7100/RS) (grifou-se) (grifou-se)</w:t>
      </w:r>
    </w:p>
    <w:p w:rsidR="05D33101" w:rsidP="065A8789" w:rsidRDefault="05D33101" w14:paraId="05BB5F49" w14:textId="216BFB66">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65A8789" w:rsidRDefault="05D33101" w14:paraId="01A9073D" w14:textId="6E754834">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65A8789" w:rsidR="065A8789">
        <w:rPr>
          <w:rFonts w:ascii="Times New Roman" w:hAnsi="Times New Roman" w:eastAsia="Times New Roman" w:cs="Times New Roman"/>
          <w:noProof w:val="0"/>
          <w:sz w:val="22"/>
          <w:szCs w:val="22"/>
          <w:lang w:val="pt-BR"/>
        </w:rPr>
        <w:t xml:space="preserve">[...] 4. O abono de permanência é indubitavelmente vantagem pecuniária permanente, pois essa </w:t>
      </w:r>
      <w:r w:rsidRPr="065A8789" w:rsidR="065A8789">
        <w:rPr>
          <w:rFonts w:ascii="Times New Roman" w:hAnsi="Times New Roman" w:eastAsia="Times New Roman" w:cs="Times New Roman"/>
          <w:b w:val="1"/>
          <w:bCs w:val="1"/>
          <w:noProof w:val="0"/>
          <w:sz w:val="22"/>
          <w:szCs w:val="22"/>
          <w:u w:val="single"/>
          <w:lang w:val="pt-BR"/>
        </w:rPr>
        <w:t>contraprestação se incorpora ao patrimônio jurídico do servidor de forma irreversível</w:t>
      </w:r>
      <w:r w:rsidRPr="065A8789" w:rsidR="065A8789">
        <w:rPr>
          <w:rFonts w:ascii="Times New Roman" w:hAnsi="Times New Roman" w:eastAsia="Times New Roman" w:cs="Times New Roman"/>
          <w:noProof w:val="0"/>
          <w:sz w:val="22"/>
          <w:szCs w:val="22"/>
          <w:lang w:val="pt-BR"/>
        </w:rPr>
        <w:t xml:space="preserve"> ao ocorrer a reunião das condições para a aposentadoria, associada à continuidade do labor. Não é, portanto, possível atribuir eventualidade ao pagamento da citada vantagem, pois somente com o implemento da aposentadoria ela cessará.</w:t>
      </w:r>
    </w:p>
    <w:p w:rsidR="05D33101" w:rsidP="065A8789" w:rsidRDefault="05D33101" w14:paraId="03782B4A" w14:textId="2A4FC32D">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65A8789" w:rsidR="065A8789">
        <w:rPr>
          <w:rFonts w:ascii="Times New Roman" w:hAnsi="Times New Roman" w:eastAsia="Times New Roman" w:cs="Times New Roman"/>
          <w:noProof w:val="0"/>
          <w:sz w:val="22"/>
          <w:szCs w:val="22"/>
          <w:lang w:val="pt-BR"/>
        </w:rPr>
        <w:t xml:space="preserve"> 5. O STJ, sob o regime do art. 543-C do CPC e da Resolução STJ 8/2008, já se manifestou sobre a natureza jurídica do abono de permanência para fins tributários, de forma a assentar o seu caráter remuneratório. A propósito: </w:t>
      </w:r>
      <w:proofErr w:type="spellStart"/>
      <w:r w:rsidRPr="065A8789" w:rsidR="065A8789">
        <w:rPr>
          <w:rFonts w:ascii="Times New Roman" w:hAnsi="Times New Roman" w:eastAsia="Times New Roman" w:cs="Times New Roman"/>
          <w:noProof w:val="0"/>
          <w:sz w:val="22"/>
          <w:szCs w:val="22"/>
          <w:lang w:val="pt-BR"/>
        </w:rPr>
        <w:t>EDcl</w:t>
      </w:r>
      <w:proofErr w:type="spellEnd"/>
      <w:r w:rsidRPr="065A8789" w:rsidR="065A8789">
        <w:rPr>
          <w:rFonts w:ascii="Times New Roman" w:hAnsi="Times New Roman" w:eastAsia="Times New Roman" w:cs="Times New Roman"/>
          <w:noProof w:val="0"/>
          <w:sz w:val="22"/>
          <w:szCs w:val="22"/>
          <w:lang w:val="pt-BR"/>
        </w:rPr>
        <w:t xml:space="preserve"> no </w:t>
      </w:r>
      <w:proofErr w:type="spellStart"/>
      <w:r w:rsidRPr="065A8789" w:rsidR="065A8789">
        <w:rPr>
          <w:rFonts w:ascii="Times New Roman" w:hAnsi="Times New Roman" w:eastAsia="Times New Roman" w:cs="Times New Roman"/>
          <w:noProof w:val="0"/>
          <w:sz w:val="22"/>
          <w:szCs w:val="22"/>
          <w:lang w:val="pt-BR"/>
        </w:rPr>
        <w:t>REsp</w:t>
      </w:r>
      <w:proofErr w:type="spellEnd"/>
      <w:r w:rsidRPr="065A8789" w:rsidR="065A8789">
        <w:rPr>
          <w:rFonts w:ascii="Times New Roman" w:hAnsi="Times New Roman" w:eastAsia="Times New Roman" w:cs="Times New Roman"/>
          <w:noProof w:val="0"/>
          <w:sz w:val="22"/>
          <w:szCs w:val="22"/>
          <w:lang w:val="pt-BR"/>
        </w:rPr>
        <w:t xml:space="preserve"> 1.192.556/PE, Rel. Ministro Mauro Campbell Marques, Primeira Seção, </w:t>
      </w:r>
      <w:proofErr w:type="spellStart"/>
      <w:r w:rsidRPr="065A8789" w:rsidR="065A8789">
        <w:rPr>
          <w:rFonts w:ascii="Times New Roman" w:hAnsi="Times New Roman" w:eastAsia="Times New Roman" w:cs="Times New Roman"/>
          <w:noProof w:val="0"/>
          <w:sz w:val="22"/>
          <w:szCs w:val="22"/>
          <w:lang w:val="pt-BR"/>
        </w:rPr>
        <w:t>DJe</w:t>
      </w:r>
      <w:proofErr w:type="spellEnd"/>
      <w:r w:rsidRPr="065A8789" w:rsidR="065A8789">
        <w:rPr>
          <w:rFonts w:ascii="Times New Roman" w:hAnsi="Times New Roman" w:eastAsia="Times New Roman" w:cs="Times New Roman"/>
          <w:noProof w:val="0"/>
          <w:sz w:val="22"/>
          <w:szCs w:val="22"/>
          <w:lang w:val="pt-BR"/>
        </w:rPr>
        <w:t xml:space="preserve"> 17.11.2010 (RECURSO ESPECIAL Nº 1.795.795 - PR (2019/0031959-9, Ministro relator Herman Benjamin, Data de Julgamento: 17/09/2019) (grifou-se)</w:t>
      </w:r>
    </w:p>
    <w:p w:rsidR="05D33101" w:rsidP="065A8789" w:rsidRDefault="05D33101" w14:paraId="273A4EC8" w14:textId="64CA84E7">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4D0A6AAD" w14:textId="4D69C390">
      <w:pPr>
        <w:pStyle w:val="Normal"/>
        <w:tabs>
          <w:tab w:val="left" w:leader="none" w:pos="284"/>
        </w:tabs>
        <w:spacing w:after="0" w:afterAutospacing="off" w:line="240" w:lineRule="auto"/>
        <w:ind w:left="0" w:firstLine="1701"/>
        <w:jc w:val="both"/>
        <w:rPr>
          <w:rFonts w:ascii="Times New Roman" w:hAnsi="Times New Roman" w:eastAsia="Times New Roman" w:cs="Times New Roman"/>
          <w:noProof w:val="0"/>
          <w:sz w:val="26"/>
          <w:szCs w:val="26"/>
          <w:lang w:val="pt-BR"/>
        </w:rPr>
      </w:pPr>
      <w:r w:rsidRPr="05D33101" w:rsidR="05D33101">
        <w:rPr>
          <w:rFonts w:ascii="Times New Roman" w:hAnsi="Times New Roman" w:eastAsia="Times New Roman" w:cs="Times New Roman"/>
          <w:noProof w:val="0"/>
          <w:sz w:val="26"/>
          <w:szCs w:val="26"/>
          <w:lang w:val="pt-BR"/>
        </w:rPr>
        <w:t xml:space="preserve">Tendo em vista, portanto, que a gratificação natalina e o terço de férias são calculados com base na remuneração do servidor e que o abono de permanência tem caráter remuneratório, comprava-se que deve ser incluído na base de cálculo daquelas verbas.  </w:t>
      </w:r>
    </w:p>
    <w:p w:rsidR="05D33101" w:rsidP="05D33101" w:rsidRDefault="05D33101" w14:paraId="6FAAE141" w14:textId="0EA19AB5">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6"/>
          <w:szCs w:val="26"/>
          <w:lang w:val="pt-BR"/>
        </w:rPr>
      </w:pPr>
    </w:p>
    <w:p w:rsidR="05D33101" w:rsidP="05D33101" w:rsidRDefault="05D33101" w14:paraId="43F4EA81" w14:textId="1CE39956">
      <w:pPr>
        <w:pStyle w:val="Normal"/>
        <w:tabs>
          <w:tab w:val="left" w:leader="none" w:pos="284"/>
        </w:tabs>
        <w:spacing w:after="0" w:afterAutospacing="off" w:line="240" w:lineRule="auto"/>
        <w:ind w:left="0" w:firstLine="1701"/>
        <w:jc w:val="both"/>
        <w:rPr>
          <w:rFonts w:ascii="Times New Roman" w:hAnsi="Times New Roman" w:eastAsia="Times New Roman" w:cs="Times New Roman"/>
          <w:noProof w:val="0"/>
          <w:sz w:val="26"/>
          <w:szCs w:val="26"/>
          <w:lang w:val="pt-BR"/>
        </w:rPr>
      </w:pPr>
      <w:r w:rsidRPr="05D33101" w:rsidR="05D33101">
        <w:rPr>
          <w:rFonts w:ascii="Times New Roman" w:hAnsi="Times New Roman" w:eastAsia="Times New Roman" w:cs="Times New Roman"/>
          <w:noProof w:val="0"/>
          <w:sz w:val="26"/>
          <w:szCs w:val="26"/>
          <w:lang w:val="pt-BR"/>
        </w:rPr>
        <w:t xml:space="preserve">Somam-se aos já citados, outros precedentes no mesmo sentido, conforme as sentenças proferidas nos seguintes processos, todas oriundas de ações coletivas ajuizadas por entidades sindicais ou associativas: processo nº 1003018- 94.2021.4.01.3400, em trâmite na 9ª VFDF, processo nº 1055138- 51.2020.4.01.3400, na 5ª VFDF. Conforme destacado pelo juízo da 14ª VFDF no processo nº 1040336-48.2020.4.01.3400: </w:t>
      </w:r>
    </w:p>
    <w:p w:rsidR="05D33101" w:rsidP="05D33101" w:rsidRDefault="05D33101" w14:paraId="203A9DF7" w14:textId="0BC76F05">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11F1B272" w14:textId="636D48D6">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Na</w:t>
      </w:r>
      <w:r w:rsidRPr="05D33101" w:rsidR="05D33101">
        <w:rPr>
          <w:rFonts w:ascii="Times New Roman" w:hAnsi="Times New Roman" w:eastAsia="Times New Roman" w:cs="Times New Roman"/>
          <w:noProof w:val="0"/>
          <w:sz w:val="22"/>
          <w:szCs w:val="22"/>
          <w:lang w:val="pt-BR"/>
        </w:rPr>
        <w:t xml:space="preserve"> espécie, assiste razão à parte autora. </w:t>
      </w:r>
    </w:p>
    <w:p w:rsidR="05D33101" w:rsidP="05D33101" w:rsidRDefault="05D33101" w14:paraId="6BBF1BE3" w14:textId="3181DFA8">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628452C2" w14:textId="25E89C64">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Isso porque o abono de permanência, criado pela Emenda Constitucional n. 41/2003, é verba remuneratória de caráter permanente, porquanto devida aos servidores que optam por permanecer em atividade após terem cumprido todos os requisitos para a aposentadoria voluntária. </w:t>
      </w:r>
    </w:p>
    <w:p w:rsidR="05D33101" w:rsidP="05D33101" w:rsidRDefault="05D33101" w14:paraId="65D47758" w14:textId="68A28D7C">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1D4D2AC2" w14:textId="68C5AB5D">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Não se pode atribuir a tal verba roupagem provisória ou de caráter indenizatório, mas de vantagem remuneratória - enquadrada no art. 41[1] da Lei n. 8.112/90 – pois o objetivo é, justamente, incentivar a permanência do servidor na ativa. </w:t>
      </w:r>
    </w:p>
    <w:p w:rsidR="05D33101" w:rsidP="05D33101" w:rsidRDefault="05D33101" w14:paraId="7C079357" w14:textId="58B76A1D">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5F11AC94" w14:textId="5B51C6CA">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b w:val="1"/>
          <w:bCs w:val="1"/>
          <w:noProof w:val="0"/>
          <w:sz w:val="22"/>
          <w:szCs w:val="22"/>
          <w:lang w:val="pt-BR"/>
        </w:rPr>
        <w:t>Razão disso, é imperiosa a inclusão do abono de permanência na base de cálculo do terço de férias e da gratificação natalina.</w:t>
      </w:r>
      <w:r w:rsidRPr="05D33101" w:rsidR="05D33101">
        <w:rPr>
          <w:rFonts w:ascii="Times New Roman" w:hAnsi="Times New Roman" w:eastAsia="Times New Roman" w:cs="Times New Roman"/>
          <w:noProof w:val="0"/>
          <w:sz w:val="22"/>
          <w:szCs w:val="22"/>
          <w:lang w:val="pt-BR"/>
        </w:rPr>
        <w:t xml:space="preserve"> (...) </w:t>
      </w:r>
    </w:p>
    <w:p w:rsidR="05D33101" w:rsidP="05D33101" w:rsidRDefault="05D33101" w14:paraId="36081C9B" w14:textId="32D942D6">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p>
    <w:p w:rsidR="05D33101" w:rsidP="05D33101" w:rsidRDefault="05D33101" w14:paraId="300B77CF" w14:textId="62C4DAC3">
      <w:pPr>
        <w:pStyle w:val="Normal"/>
        <w:tabs>
          <w:tab w:val="left" w:leader="none" w:pos="284"/>
        </w:tabs>
        <w:spacing w:after="0" w:afterAutospacing="off" w:line="240" w:lineRule="auto"/>
        <w:ind w:left="1701" w:firstLine="0"/>
        <w:jc w:val="both"/>
        <w:rPr>
          <w:rFonts w:ascii="Times New Roman" w:hAnsi="Times New Roman" w:eastAsia="Times New Roman" w:cs="Times New Roman"/>
          <w:noProof w:val="0"/>
          <w:sz w:val="22"/>
          <w:szCs w:val="22"/>
          <w:lang w:val="pt-BR"/>
        </w:rPr>
      </w:pPr>
      <w:r w:rsidRPr="05D33101" w:rsidR="05D33101">
        <w:rPr>
          <w:rFonts w:ascii="Times New Roman" w:hAnsi="Times New Roman" w:eastAsia="Times New Roman" w:cs="Times New Roman"/>
          <w:noProof w:val="0"/>
          <w:sz w:val="22"/>
          <w:szCs w:val="22"/>
          <w:lang w:val="pt-BR"/>
        </w:rPr>
        <w:t xml:space="preserve">Ante o exposto, resolvendo o mérito da presente demanda com base no disposto no art. 487, I, do CPC, acolho o pedido da parte autora para, reconhecendo a natureza remuneratória do abono de permanência, determinar que a parte ré inclua o referido abono na base de cálculo das parcelas </w:t>
      </w:r>
      <w:proofErr w:type="spellStart"/>
      <w:r w:rsidRPr="05D33101" w:rsidR="05D33101">
        <w:rPr>
          <w:rFonts w:ascii="Times New Roman" w:hAnsi="Times New Roman" w:eastAsia="Times New Roman" w:cs="Times New Roman"/>
          <w:noProof w:val="0"/>
          <w:sz w:val="22"/>
          <w:szCs w:val="22"/>
          <w:lang w:val="pt-BR"/>
        </w:rPr>
        <w:t>vencimentais</w:t>
      </w:r>
      <w:proofErr w:type="spellEnd"/>
      <w:r w:rsidRPr="05D33101" w:rsidR="05D33101">
        <w:rPr>
          <w:rFonts w:ascii="Times New Roman" w:hAnsi="Times New Roman" w:eastAsia="Times New Roman" w:cs="Times New Roman"/>
          <w:noProof w:val="0"/>
          <w:sz w:val="22"/>
          <w:szCs w:val="22"/>
          <w:lang w:val="pt-BR"/>
        </w:rPr>
        <w:t xml:space="preserve"> de seus associados, que tenham a remuneração como referência, tais como o adicional constitucional de férias e a gratificação natalina; devendo a União pagar as diferenças remuneratórias devidas, com juros e correção monetária nos termos do Manual de Cálculos da Justiça Federal, observada a prescrição quinquenal. (grifou-se)</w:t>
      </w:r>
    </w:p>
    <w:p w:rsidR="05D33101" w:rsidP="05D33101" w:rsidRDefault="05D33101" w14:paraId="1A657812" w14:textId="250FAF89">
      <w:pPr>
        <w:pStyle w:val="Normal"/>
        <w:tabs>
          <w:tab w:val="left" w:leader="none" w:pos="284"/>
        </w:tabs>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w:rsidR="05D33101" w:rsidP="09BCA5A3" w:rsidRDefault="05D33101" w14:paraId="6426AA0B" w14:textId="3D805AB1">
      <w:pPr>
        <w:pStyle w:val="Normal"/>
        <w:spacing w:after="200" w:line="240" w:lineRule="auto"/>
        <w:ind w:firstLine="1695"/>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09BCA5A3"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Como se vê das decisões,</w:t>
      </w:r>
      <w:r w:rsidRPr="09BCA5A3"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a demanda trata da defesa de interesse ou direito coletivo da categoria sintetizada na entidade </w:t>
      </w:r>
      <w:r w:rsidRPr="09BCA5A3"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sindical;</w:t>
      </w:r>
      <w:r w:rsidRPr="09BCA5A3">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footnoteReference w:id="8386"/>
      </w:r>
      <w:r w:rsidRPr="09BCA5A3" w:rsidR="2DBCE85E">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w:t>
      </w:r>
      <w:r w:rsidRPr="09BCA5A3"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senão, de direitos individuais homogêneos dos servidores interessados, porque “decorrentes de origem </w:t>
      </w:r>
      <w:r w:rsidRPr="09BCA5A3"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comum”</w:t>
      </w:r>
      <w:r w:rsidRPr="09BCA5A3">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footnoteReference w:id="80"/>
      </w:r>
      <w:r w:rsidRPr="09BCA5A3"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hipóteses que, indistintamente, alcançam legitimidade ativa extraordinária ao sindicato, porquanto pleiteia, em nome próprio, direito alheio, assim autorizado por lei.</w:t>
      </w:r>
    </w:p>
    <w:p w:rsidR="05D33101" w:rsidP="05D33101" w:rsidRDefault="05D33101" w14:paraId="6E090EBB" w14:textId="2CA06070">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A exigida autorização legislada vem da Constituição da República, cujo artigo 8º, III, atribui aos sindicatos “a defesa dos direitos e interesses coletivos ou individuais da categoria, inclusive em questões judiciais ou administrativas”.</w:t>
      </w:r>
    </w:p>
    <w:p w:rsidR="05D33101" w:rsidP="05D33101" w:rsidRDefault="05D33101" w14:paraId="5A3081D3" w14:textId="75265D78">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w:rsidR="05D33101" w:rsidP="05D33101" w:rsidRDefault="05D33101" w14:paraId="38F8B9A6" w14:textId="763F5ACD">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Acresce o direito de obter de informações dos órgãos públicos de interesse particular ou de interesse coletivo, assegurado pelo artigo art. 5º, XXXIII e XXXIV, alínea ‘b’, todos da Constituição da Repú</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bli</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ca</w:t>
      </w:r>
      <w:r w:rsidRPr="05D33101">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footnoteReference w:id="450"/>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No m</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esmo sentido, o direito é amparado e regulamentado pela</w:t>
      </w:r>
      <w:r w:rsidRPr="05D33101" w:rsidR="05D33101">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t xml:space="preserve"> </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Lei de Acesso à informação (artigos 10 e 11)</w:t>
      </w:r>
      <w:r w:rsidRPr="05D33101">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6"/>
          <w:szCs w:val="26"/>
          <w:vertAlign w:val="superscript"/>
          <w:lang w:val="pt-BR"/>
        </w:rPr>
        <w:footnoteReference w:id="30228"/>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vertAlign w:val="superscript"/>
          <w:lang w:val="pt-BR"/>
        </w:rPr>
        <w:t xml:space="preserve"> , </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vertAlign w:val="baseline"/>
          <w:lang w:val="pt-BR"/>
        </w:rPr>
        <w:t>definindo-se o prazo legal para tanto.</w:t>
      </w:r>
    </w:p>
    <w:p w:rsidR="05D33101" w:rsidP="05D33101" w:rsidRDefault="05D33101" w14:paraId="51982253" w14:textId="267DEFAB">
      <w:pPr>
        <w:pStyle w:val="Normal"/>
        <w:spacing w:after="0" w:afterAutospacing="off" w:line="240" w:lineRule="auto"/>
        <w:ind w:firstLine="1701"/>
        <w:jc w:val="both"/>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pPr>
    </w:p>
    <w:p w:rsidR="05D33101" w:rsidP="68AE7215" w:rsidRDefault="05D33101" w14:paraId="7FE3ED57" w14:textId="1D82EF56">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68AE7215" w:rsidR="05D33101">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t>Ante o exposto</w:t>
      </w: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w:t>
      </w:r>
      <w:r w:rsidRPr="68AE7215" w:rsidR="3FAB3132">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requer esclarecimentos sobre as seguintes questões</w:t>
      </w: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w:t>
      </w:r>
    </w:p>
    <w:p w:rsidR="05D33101" w:rsidP="05D33101" w:rsidRDefault="05D33101" w14:paraId="27678C3F" w14:textId="65DCCE3E">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w:rsidR="05D33101" w:rsidP="05D33101" w:rsidRDefault="05D33101" w14:paraId="4426D485" w14:textId="2F5C25D4">
      <w:pPr>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05D33101" w:rsidR="05D33101">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t>(a)</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há incidência de imposto de renda e contribuição previdenciária sobre os valores recebidos a título de abono de permanência?</w:t>
      </w:r>
    </w:p>
    <w:p w:rsidR="05D33101" w:rsidP="05D33101" w:rsidRDefault="05D33101" w14:paraId="432B9B75" w14:textId="18571B60">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w:rsidR="05D33101" w:rsidP="05D33101" w:rsidRDefault="05D33101" w14:paraId="11FCA225" w14:textId="42D66FC7">
      <w:pPr>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05D33101" w:rsidR="05D33101">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t>(b)</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atualmente, o abono de permanência integra a base de cálculo do terço constitucional de férias e da gratificação natalina?</w:t>
      </w:r>
    </w:p>
    <w:p w:rsidR="05D33101" w:rsidP="05D33101" w:rsidRDefault="05D33101" w14:paraId="109C0C17" w14:textId="4962B110">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w:rsidR="05D33101" w:rsidP="05D33101" w:rsidRDefault="05D33101" w14:paraId="1A56EA27" w14:textId="7500198A">
      <w:pPr>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05D33101" w:rsidR="05D33101">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t>(c)</w:t>
      </w:r>
      <w:r w:rsidRPr="05D33101"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na hipótese de o abono de permanência atualmente integrar a base de cálculo dos benefícios referidos no item “b”, quando tal entendimento passou a ser aplicado?</w:t>
      </w:r>
    </w:p>
    <w:p w:rsidR="05D33101" w:rsidP="05D33101" w:rsidRDefault="05D33101" w14:paraId="0EB31702" w14:textId="29F338D3">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w:rsidR="05D33101" w:rsidP="68AE7215" w:rsidRDefault="05D33101" w14:paraId="2AB11479" w14:textId="0D3173D1">
      <w:pPr>
        <w:spacing w:after="200"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68AE7215" w:rsidR="05D33101">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pt-BR"/>
        </w:rPr>
        <w:t xml:space="preserve">(d) </w:t>
      </w: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em caso negativo, pede-se a revisão dos processos d</w:t>
      </w:r>
      <w:r w:rsidRPr="68AE7215" w:rsidR="49760D52">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a</w:t>
      </w: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servidor</w:t>
      </w:r>
      <w:r w:rsidRPr="68AE7215" w:rsidR="1875504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a</w:t>
      </w: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xml:space="preserve">, para efetuar o pagamento da diferença entre o valor pago a título de décimo terceiro e férias sem a inclusão do abono de permanência e o valor com a devida inserção, acrescida de juros e correção, observada </w:t>
      </w: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u w:val="none"/>
          <w:lang w:val="pt-BR"/>
        </w:rPr>
        <w:t>a pr</w:t>
      </w: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escrição quinquenal.</w:t>
      </w:r>
    </w:p>
    <w:p w:rsidR="05D33101" w:rsidP="68AE7215" w:rsidRDefault="05D33101" w14:paraId="1E30A6EE" w14:textId="3A3030FA">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68AE7215" w:rsidR="78EB4C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w:t>
      </w:r>
    </w:p>
    <w:p w:rsidR="05D33101" w:rsidP="3B15A819" w:rsidRDefault="05D33101" w14:paraId="43A0B8D3" w14:textId="2258DFE3">
      <w:pPr>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3B15A819"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Rio de Janeiro, [</w:t>
      </w:r>
      <w:r w:rsidRPr="3B15A819"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highlight w:val="yellow"/>
          <w:lang w:val="pt-BR"/>
        </w:rPr>
        <w:t>data</w:t>
      </w:r>
      <w:r w:rsidRPr="3B15A819"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 de 202</w:t>
      </w:r>
      <w:r w:rsidRPr="3B15A819" w:rsidR="39668A0A">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3</w:t>
      </w:r>
      <w:r w:rsidRPr="3B15A819"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w:t>
      </w:r>
    </w:p>
    <w:p w:rsidR="05D33101" w:rsidP="05D33101" w:rsidRDefault="05D33101" w14:paraId="303DC793" w14:textId="772DAECF">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p>
    <w:p w:rsidR="05D33101" w:rsidP="05D33101" w:rsidRDefault="05D33101" w14:paraId="205D367B" w14:textId="5D251CFE">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p>
    <w:p w:rsidR="05D33101" w:rsidP="05D33101" w:rsidRDefault="05D33101" w14:paraId="3EDCDB62" w14:textId="65655A79">
      <w:pPr>
        <w:pStyle w:val="Normal"/>
        <w:spacing w:after="0" w:afterAutospacing="off" w:line="240" w:lineRule="auto"/>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pPr>
      <w:r w:rsidRPr="68AE7215" w:rsidR="05D331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pt-BR"/>
        </w:rPr>
        <w:t>____________________________________</w:t>
      </w:r>
    </w:p>
    <w:p w:rsidR="3FB943D4" w:rsidP="68AE7215" w:rsidRDefault="3FB943D4" w14:paraId="7E02D68E" w14:textId="730CB626">
      <w:pPr>
        <w:pStyle w:val="Normal"/>
        <w:suppressLineNumbers w:val="0"/>
        <w:bidi w:val="0"/>
        <w:spacing w:before="0" w:beforeAutospacing="off" w:after="0" w:afterAutospacing="off" w:line="240" w:lineRule="auto"/>
        <w:ind w:left="0" w:right="0" w:firstLine="1701"/>
        <w:jc w:val="both"/>
        <w:rPr>
          <w:rFonts w:ascii="Times New Roman" w:hAnsi="Times New Roman" w:eastAsia="Times New Roman" w:cs="Times New Roman"/>
          <w:b w:val="0"/>
          <w:bCs w:val="0"/>
          <w:i w:val="1"/>
          <w:iCs w:val="1"/>
          <w:caps w:val="0"/>
          <w:smallCaps w:val="0"/>
          <w:noProof w:val="0"/>
          <w:color w:val="000000" w:themeColor="text1" w:themeTint="FF" w:themeShade="FF"/>
          <w:sz w:val="26"/>
          <w:szCs w:val="26"/>
          <w:lang w:val="pt-BR"/>
        </w:rPr>
      </w:pPr>
      <w:r w:rsidRPr="68AE7215" w:rsidR="3FB943D4">
        <w:rPr>
          <w:rFonts w:ascii="Times New Roman" w:hAnsi="Times New Roman" w:eastAsia="Times New Roman" w:cs="Times New Roman"/>
          <w:b w:val="0"/>
          <w:bCs w:val="0"/>
          <w:i w:val="1"/>
          <w:iCs w:val="1"/>
          <w:caps w:val="0"/>
          <w:smallCaps w:val="0"/>
          <w:noProof w:val="0"/>
          <w:color w:val="000000" w:themeColor="text1" w:themeTint="FF" w:themeShade="FF"/>
          <w:sz w:val="26"/>
          <w:szCs w:val="26"/>
          <w:lang w:val="pt-BR"/>
        </w:rPr>
        <w:t>[ASSINATURA]</w:t>
      </w:r>
    </w:p>
    <w:p w:rsidR="05D33101" w:rsidP="05D33101" w:rsidRDefault="05D33101" w14:paraId="19D2B690" w14:textId="161F523C">
      <w:pPr>
        <w:pStyle w:val="Normal"/>
        <w:spacing w:after="0" w:afterAutospacing="off" w:line="240" w:lineRule="auto"/>
        <w:ind w:firstLine="1701"/>
        <w:jc w:val="both"/>
        <w:rPr>
          <w:rFonts w:ascii="Times New Roman" w:hAnsi="Times New Roman" w:eastAsia="Times New Roman" w:cs="Times New Roman"/>
          <w:b w:val="1"/>
          <w:bCs w:val="1"/>
          <w:i w:val="0"/>
          <w:iCs w:val="0"/>
          <w:caps w:val="0"/>
          <w:smallCaps w:val="0"/>
          <w:noProof w:val="0"/>
          <w:color w:val="000000" w:themeColor="text1" w:themeTint="FF" w:themeShade="FF"/>
          <w:sz w:val="22"/>
          <w:szCs w:val="22"/>
          <w:highlight w:val="yellow"/>
          <w:lang w:val="pt-BR"/>
        </w:rPr>
      </w:pPr>
    </w:p>
    <w:p w:rsidR="05D33101" w:rsidP="05D33101" w:rsidRDefault="05D33101" w14:paraId="78925195" w14:textId="55E44BC1">
      <w:pPr>
        <w:pStyle w:val="Normal"/>
        <w:widowControl w:val="0"/>
        <w:spacing w:after="0" w:afterAutospacing="off" w:line="240" w:lineRule="auto"/>
        <w:ind w:firstLine="1701"/>
        <w:jc w:val="both"/>
        <w:rPr>
          <w:rFonts w:ascii="Times New Roman" w:hAnsi="Times New Roman"/>
          <w:sz w:val="22"/>
          <w:szCs w:val="22"/>
        </w:rPr>
      </w:pPr>
    </w:p>
    <w:sectPr w:rsidRPr="00C828E1" w:rsidR="001C53D1" w:rsidSect="00384013">
      <w:headerReference w:type="default" r:id="rId11"/>
      <w:footerReference w:type="default" r:id="rId12"/>
      <w:pgSz w:w="11906" w:h="16838" w:orient="portrait" w:code="9"/>
      <w:pgMar w:top="2552"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1EC" w:rsidP="005F0A06" w:rsidRDefault="008E31EC" w14:paraId="2F0FB64E" w14:textId="77777777">
      <w:pPr>
        <w:spacing w:after="0" w:line="240" w:lineRule="auto"/>
      </w:pPr>
      <w:r>
        <w:separator/>
      </w:r>
    </w:p>
  </w:endnote>
  <w:endnote w:type="continuationSeparator" w:id="0">
    <w:p w:rsidR="008E31EC" w:rsidP="005F0A06" w:rsidRDefault="008E31EC" w14:paraId="2F0FB6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F0A06" w:rsidR="005F0A06" w:rsidRDefault="005F0A06" w14:paraId="2F0FB651" w14:textId="77777777">
    <w:pPr>
      <w:pStyle w:val="Rodap"/>
      <w:jc w:val="right"/>
      <w:rPr>
        <w:sz w:val="2"/>
      </w:rPr>
    </w:pPr>
  </w:p>
  <w:p w:rsidRPr="007A1EAB" w:rsidR="005F0A06" w:rsidRDefault="005F0A06" w14:paraId="2F0FB652" w14:textId="022CE5F1">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DC7791">
      <w:rPr>
        <w:rFonts w:ascii="Arial" w:hAnsi="Arial" w:cs="Arial"/>
        <w:bCs/>
        <w:noProof/>
        <w:sz w:val="20"/>
        <w:szCs w:val="20"/>
      </w:rPr>
      <w:t>2</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DC7791">
      <w:rPr>
        <w:rFonts w:ascii="Arial" w:hAnsi="Arial" w:cs="Arial"/>
        <w:bCs/>
        <w:noProof/>
        <w:sz w:val="20"/>
        <w:szCs w:val="20"/>
      </w:rPr>
      <w:t>2</w:t>
    </w:r>
    <w:r w:rsidRPr="007A1EAB">
      <w:rPr>
        <w:rFonts w:ascii="Arial" w:hAnsi="Arial" w:cs="Arial"/>
        <w:bCs/>
        <w:sz w:val="20"/>
        <w:szCs w:val="20"/>
      </w:rPr>
      <w:fldChar w:fldCharType="end"/>
    </w:r>
  </w:p>
  <w:p w:rsidR="005F0A06" w:rsidRDefault="005F0A06" w14:paraId="2F0FB653"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1EC" w:rsidP="005F0A06" w:rsidRDefault="008E31EC" w14:paraId="2F0FB64C" w14:textId="77777777">
      <w:pPr>
        <w:spacing w:after="0" w:line="240" w:lineRule="auto"/>
      </w:pPr>
      <w:r>
        <w:separator/>
      </w:r>
    </w:p>
  </w:footnote>
  <w:footnote w:type="continuationSeparator" w:id="0">
    <w:p w:rsidR="008E31EC" w:rsidP="005F0A06" w:rsidRDefault="008E31EC" w14:paraId="2F0FB64D" w14:textId="77777777">
      <w:pPr>
        <w:spacing w:after="0" w:line="240" w:lineRule="auto"/>
      </w:pPr>
      <w:r>
        <w:continuationSeparator/>
      </w:r>
    </w:p>
  </w:footnote>
  <w:footnote w:id="20979">
    <w:p w:rsidR="05D33101" w:rsidP="05D33101" w:rsidRDefault="05D33101" w14:paraId="5F402F58" w14:textId="4E964118">
      <w:pPr>
        <w:pStyle w:val="Normal"/>
        <w:bidi w:val="0"/>
        <w:spacing w:after="0" w:afterAutospacing="off" w:line="240" w:lineRule="auto"/>
        <w:ind w:firstLine="0"/>
        <w:jc w:val="both"/>
        <w:rPr>
          <w:rFonts w:ascii="Times New Roman" w:hAnsi="Times New Roman" w:eastAsia="Times New Roman" w:cs="Times New Roman"/>
          <w:noProof w:val="0"/>
          <w:color w:val="auto"/>
          <w:sz w:val="22"/>
          <w:szCs w:val="22"/>
          <w:lang w:val="pt-BR"/>
        </w:rPr>
      </w:pPr>
      <w:r w:rsidRPr="05D33101">
        <w:rPr>
          <w:rStyle w:val="Refdenotaderodap"/>
          <w:rFonts w:ascii="Arial" w:hAnsi="Arial" w:eastAsia="Arial" w:cs="Arial"/>
          <w:sz w:val="18"/>
          <w:szCs w:val="18"/>
        </w:rPr>
        <w:footnoteRef/>
      </w:r>
      <w:r w:rsidRPr="05D33101" w:rsidR="05D33101">
        <w:rPr>
          <w:rFonts w:ascii="Arial" w:hAnsi="Arial" w:eastAsia="Arial" w:cs="Arial"/>
          <w:sz w:val="18"/>
          <w:szCs w:val="18"/>
        </w:rPr>
        <w:t xml:space="preserve"> </w:t>
      </w:r>
      <w:r w:rsidRPr="05D33101" w:rsidR="05D33101">
        <w:rPr>
          <w:rFonts w:ascii="Arial" w:hAnsi="Arial" w:eastAsia="Arial" w:cs="Arial"/>
          <w:noProof w:val="0"/>
          <w:color w:val="auto"/>
          <w:sz w:val="18"/>
          <w:szCs w:val="18"/>
          <w:lang w:val="pt-BR"/>
        </w:rPr>
        <w:t xml:space="preserve">Incide IR sobre os rendimentos recebidos a título de abono de permanência a que se referem os </w:t>
      </w:r>
      <w:proofErr w:type="spellStart"/>
      <w:r w:rsidRPr="05D33101" w:rsidR="05D33101">
        <w:rPr>
          <w:rFonts w:ascii="Arial" w:hAnsi="Arial" w:eastAsia="Arial" w:cs="Arial"/>
          <w:noProof w:val="0"/>
          <w:color w:val="auto"/>
          <w:sz w:val="18"/>
          <w:szCs w:val="18"/>
          <w:lang w:val="pt-BR"/>
        </w:rPr>
        <w:t>arts</w:t>
      </w:r>
      <w:proofErr w:type="spellEnd"/>
      <w:r w:rsidRPr="05D33101" w:rsidR="05D33101">
        <w:rPr>
          <w:rFonts w:ascii="Arial" w:hAnsi="Arial" w:eastAsia="Arial" w:cs="Arial"/>
          <w:noProof w:val="0"/>
          <w:color w:val="auto"/>
          <w:sz w:val="18"/>
          <w:szCs w:val="18"/>
          <w:lang w:val="pt-BR"/>
        </w:rPr>
        <w:t xml:space="preserve">. 40, § 19, da CF; 2º, § 5º, e 3º, § 1º, da EC n. 41/2003; e 7º da Lei n. 10.887/2004. O abono possui natureza remuneratória e confere acréscimo patrimonial ao beneficiário, não havendo lei que autorize a isenção (STJ, 2ª Turma, </w:t>
      </w:r>
      <w:proofErr w:type="spellStart"/>
      <w:r w:rsidRPr="05D33101" w:rsidR="05D33101">
        <w:rPr>
          <w:rFonts w:ascii="Arial" w:hAnsi="Arial" w:eastAsia="Arial" w:cs="Arial"/>
          <w:noProof w:val="0"/>
          <w:color w:val="auto"/>
          <w:sz w:val="18"/>
          <w:szCs w:val="18"/>
          <w:lang w:val="pt-BR"/>
        </w:rPr>
        <w:t>AREsp</w:t>
      </w:r>
      <w:proofErr w:type="spellEnd"/>
      <w:r w:rsidRPr="05D33101" w:rsidR="05D33101">
        <w:rPr>
          <w:rFonts w:ascii="Arial" w:hAnsi="Arial" w:eastAsia="Arial" w:cs="Arial"/>
          <w:noProof w:val="0"/>
          <w:color w:val="auto"/>
          <w:sz w:val="18"/>
          <w:szCs w:val="18"/>
          <w:lang w:val="pt-BR"/>
        </w:rPr>
        <w:t xml:space="preserve"> 225144, 06/11/2012).</w:t>
      </w:r>
    </w:p>
  </w:footnote>
  <w:footnote w:id="450">
    <w:p w:rsidR="05D33101" w:rsidP="05D33101" w:rsidRDefault="05D33101" w14:paraId="02D68391" w14:textId="303F01D6">
      <w:pPr>
        <w:pStyle w:val="Normal"/>
        <w:bidi w:val="0"/>
        <w:spacing w:after="0" w:afterAutospacing="off" w:line="240" w:lineRule="auto"/>
        <w:ind w:firstLine="0"/>
        <w:jc w:val="both"/>
        <w:rPr>
          <w:rFonts w:ascii="Arial" w:hAnsi="Arial" w:eastAsia="Arial" w:cs="Arial"/>
          <w:b w:val="0"/>
          <w:bCs w:val="0"/>
          <w:i w:val="0"/>
          <w:iCs w:val="0"/>
          <w:caps w:val="0"/>
          <w:smallCaps w:val="0"/>
          <w:noProof w:val="0"/>
          <w:color w:val="000000" w:themeColor="text1" w:themeTint="FF" w:themeShade="FF"/>
          <w:sz w:val="18"/>
          <w:szCs w:val="18"/>
          <w:lang w:val="pt-BR"/>
        </w:rPr>
      </w:pPr>
      <w:r w:rsidRPr="05D33101">
        <w:rPr>
          <w:rStyle w:val="Refdenotaderodap"/>
          <w:rFonts w:ascii="Arial" w:hAnsi="Arial" w:eastAsia="Arial" w:cs="Arial"/>
          <w:sz w:val="18"/>
          <w:szCs w:val="18"/>
        </w:rPr>
        <w:footnoteRef/>
      </w:r>
      <w:r w:rsidRPr="05D33101" w:rsidR="05D33101">
        <w:rPr>
          <w:rFonts w:ascii="Arial" w:hAnsi="Arial" w:eastAsia="Arial" w:cs="Arial"/>
          <w:sz w:val="18"/>
          <w:szCs w:val="18"/>
        </w:rPr>
        <w:t xml:space="preserve"> </w:t>
      </w:r>
      <w:r w:rsidRPr="05D33101" w:rsidR="05D33101">
        <w:rPr>
          <w:rFonts w:ascii="Arial" w:hAnsi="Arial" w:eastAsia="Arial" w:cs="Arial"/>
          <w:b w:val="0"/>
          <w:bCs w:val="0"/>
          <w:i w:val="0"/>
          <w:iCs w:val="0"/>
          <w:caps w:val="0"/>
          <w:smallCaps w:val="0"/>
          <w:noProof w:val="0"/>
          <w:color w:val="000000" w:themeColor="text1" w:themeTint="FF" w:themeShade="FF"/>
          <w:sz w:val="18"/>
          <w:szCs w:val="18"/>
          <w:lang w:val="pt-BR"/>
        </w:rPr>
        <w:t>Art. 5º (...) 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XXXIV - são a todos assegurados, independentemente do pagamento de taxas: a) o direito de petição aos Poderes Públicos em defesa de direitos ou contra ilegalidade ou abuso de poder; b) a obtenção de certidões em repartições públicas, para defesa de direitos e esclarecimento de situações de interesse pessoal;</w:t>
      </w:r>
    </w:p>
  </w:footnote>
  <w:footnote w:id="30228">
    <w:p w:rsidR="05D33101" w:rsidP="05D33101" w:rsidRDefault="05D33101" w14:paraId="23920567" w14:textId="55E7AD5C">
      <w:pPr>
        <w:pStyle w:val="Normal"/>
        <w:bidi w:val="0"/>
        <w:spacing w:after="0" w:afterAutospacing="off" w:line="240" w:lineRule="auto"/>
        <w:ind w:firstLine="0"/>
        <w:jc w:val="both"/>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BR"/>
        </w:rPr>
      </w:pPr>
      <w:r w:rsidRPr="05D33101">
        <w:rPr>
          <w:rStyle w:val="Refdenotaderodap"/>
          <w:rFonts w:ascii="Arial" w:hAnsi="Arial" w:eastAsia="Arial" w:cs="Arial"/>
          <w:sz w:val="18"/>
          <w:szCs w:val="18"/>
        </w:rPr>
        <w:footnoteRef/>
      </w:r>
      <w:r w:rsidRPr="05D33101" w:rsidR="05D33101">
        <w:rPr>
          <w:rFonts w:ascii="Arial" w:hAnsi="Arial" w:eastAsia="Arial" w:cs="Arial"/>
          <w:sz w:val="18"/>
          <w:szCs w:val="18"/>
        </w:rPr>
        <w:t xml:space="preserve"> </w:t>
      </w:r>
      <w:r w:rsidRPr="05D33101" w:rsidR="05D33101">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pt-BR"/>
        </w:rPr>
        <w:t>Lei nº 12.527, de 2011: Art. 10.  Qualquer interessado poderá apresentar pedido de acesso a informações aos órgãos e entidades referidos no art. 1o desta Lei, por qualquer meio legítimo, devendo o pedido conter a identificação do requerente e a especificação da informação requerida. Art. 11.  O órgão ou entidade pública deverá autorizar ou conceder o acesso imediato à informação disponível. § 1º Não sendo possível conceder o acesso imediato, na forma disposta no caput, o órgão ou entidade que receber o pedido deverá, em prazo não superior a 20 (vinte) dias: (...)</w:t>
      </w:r>
    </w:p>
  </w:footnote>
  <w:footnote w:id="17201">
    <w:p w:rsidR="05D33101" w:rsidP="68AE7215" w:rsidRDefault="05D33101" w14:paraId="1B753809" w14:textId="74EE4E64">
      <w:pPr>
        <w:pStyle w:val="Normal"/>
        <w:bidi w:val="0"/>
        <w:spacing w:after="0" w:afterAutospacing="off" w:line="240" w:lineRule="auto"/>
        <w:ind w:firstLine="0"/>
        <w:jc w:val="both"/>
        <w:rPr>
          <w:rFonts w:ascii="Arial" w:hAnsi="Arial" w:eastAsia="Arial" w:cs="Arial"/>
          <w:b w:val="0"/>
          <w:bCs w:val="0"/>
          <w:i w:val="0"/>
          <w:iCs w:val="0"/>
          <w:caps w:val="0"/>
          <w:smallCaps w:val="0"/>
          <w:noProof w:val="0"/>
          <w:color w:val="000000" w:themeColor="text1" w:themeTint="FF" w:themeShade="FF"/>
          <w:sz w:val="18"/>
          <w:szCs w:val="18"/>
          <w:lang w:val="pt-BR"/>
        </w:rPr>
      </w:pPr>
      <w:r w:rsidRPr="05D33101">
        <w:rPr>
          <w:rStyle w:val="Refdenotaderodap"/>
          <w:rFonts w:ascii="Arial" w:hAnsi="Arial" w:eastAsia="Arial" w:cs="Arial"/>
          <w:sz w:val="18"/>
          <w:szCs w:val="18"/>
        </w:rPr>
        <w:footnoteRef/>
      </w:r>
      <w:r w:rsidRPr="05D33101" w:rsidR="68AE7215">
        <w:rPr>
          <w:rFonts w:ascii="Arial" w:hAnsi="Arial" w:eastAsia="Arial" w:cs="Arial"/>
          <w:sz w:val="18"/>
          <w:szCs w:val="18"/>
        </w:rPr>
        <w:t xml:space="preserve"> </w:t>
      </w:r>
      <w:r w:rsidRPr="68AE7215" w:rsidR="68AE7215">
        <w:rPr>
          <w:rFonts w:ascii="Arial" w:hAnsi="Arial" w:eastAsia="Arial" w:cs="Arial"/>
          <w:b w:val="1"/>
          <w:bCs w:val="1"/>
          <w:i w:val="0"/>
          <w:iCs w:val="0"/>
          <w:caps w:val="0"/>
          <w:smallCaps w:val="0"/>
          <w:noProof w:val="0"/>
          <w:color w:val="000000" w:themeColor="text1" w:themeTint="FF" w:themeShade="FF"/>
          <w:sz w:val="18"/>
          <w:szCs w:val="18"/>
          <w:lang w:val="pt-BR"/>
        </w:rPr>
        <w:t xml:space="preserve">Observados os critérios a serem estabelecidos em lei, </w:t>
      </w:r>
      <w:r w:rsidRPr="68AE7215" w:rsidR="68AE7215">
        <w:rPr>
          <w:rFonts w:ascii="Arial" w:hAnsi="Arial" w:eastAsia="Arial" w:cs="Arial"/>
          <w:b w:val="0"/>
          <w:bCs w:val="0"/>
          <w:i w:val="0"/>
          <w:iCs w:val="0"/>
          <w:caps w:val="0"/>
          <w:smallCaps w:val="0"/>
          <w:noProof w:val="0"/>
          <w:color w:val="000000" w:themeColor="text1" w:themeTint="FF" w:themeShade="FF"/>
          <w:sz w:val="18"/>
          <w:szCs w:val="18"/>
          <w:lang w:val="pt-BR"/>
        </w:rPr>
        <w:t xml:space="preserve">o servidor titular de cargo efetivo que tenha completado as exigências para a aposentadoria voluntária e que opte por permanecer em atividade </w:t>
      </w:r>
      <w:r w:rsidRPr="68AE7215" w:rsidR="68AE7215">
        <w:rPr>
          <w:rFonts w:ascii="Arial" w:hAnsi="Arial" w:eastAsia="Arial" w:cs="Arial"/>
          <w:b w:val="1"/>
          <w:bCs w:val="1"/>
          <w:i w:val="0"/>
          <w:iCs w:val="0"/>
          <w:caps w:val="0"/>
          <w:smallCaps w:val="0"/>
          <w:noProof w:val="0"/>
          <w:color w:val="000000" w:themeColor="text1" w:themeTint="FF" w:themeShade="FF"/>
          <w:sz w:val="18"/>
          <w:szCs w:val="18"/>
          <w:lang w:val="pt-BR"/>
        </w:rPr>
        <w:t xml:space="preserve">fará jus </w:t>
      </w:r>
      <w:r w:rsidRPr="68AE7215" w:rsidR="68AE7215">
        <w:rPr>
          <w:rFonts w:ascii="Arial" w:hAnsi="Arial" w:eastAsia="Arial" w:cs="Arial"/>
          <w:b w:val="0"/>
          <w:bCs w:val="0"/>
          <w:i w:val="0"/>
          <w:iCs w:val="0"/>
          <w:caps w:val="0"/>
          <w:smallCaps w:val="0"/>
          <w:noProof w:val="0"/>
          <w:color w:val="000000" w:themeColor="text1" w:themeTint="FF" w:themeShade="FF"/>
          <w:sz w:val="18"/>
          <w:szCs w:val="18"/>
          <w:lang w:val="pt-BR"/>
        </w:rPr>
        <w:t xml:space="preserve">a um abono de permanência equivalente ao valor da sua contribuição previdenciária, até completar a idade para aposentadoria compulsória</w:t>
      </w:r>
      <w:r w:rsidRPr="68AE7215" w:rsidR="68AE7215">
        <w:rPr>
          <w:rFonts w:ascii="Arial" w:hAnsi="Arial" w:eastAsia="Arial" w:cs="Arial"/>
          <w:b w:val="0"/>
          <w:bCs w:val="0"/>
          <w:i w:val="0"/>
          <w:iCs w:val="0"/>
          <w:caps w:val="0"/>
          <w:smallCaps w:val="0"/>
          <w:noProof w:val="0"/>
          <w:color w:val="000000" w:themeColor="text1" w:themeTint="FF" w:themeShade="FF"/>
          <w:sz w:val="18"/>
          <w:szCs w:val="18"/>
          <w:lang w:val="pt-BR"/>
        </w:rPr>
        <w:t xml:space="preserve">.</w:t>
      </w:r>
    </w:p>
  </w:footnote>
  <w:footnote w:id="8386">
    <w:p w:rsidR="05D33101" w:rsidP="05D33101" w:rsidRDefault="05D33101" w14:paraId="0CBD00B7" w14:textId="58F20493">
      <w:pPr>
        <w:pStyle w:val="Normal"/>
        <w:bidi w:val="0"/>
        <w:spacing w:after="0" w:afterAutospacing="off" w:line="240" w:lineRule="auto"/>
        <w:ind w:firstLine="0"/>
        <w:jc w:val="both"/>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BR"/>
        </w:rPr>
      </w:pPr>
      <w:r w:rsidRPr="05D33101">
        <w:rPr>
          <w:rStyle w:val="Refdenotaderodap"/>
          <w:rFonts w:ascii="Arial" w:hAnsi="Arial" w:eastAsia="Arial" w:cs="Arial"/>
          <w:sz w:val="18"/>
          <w:szCs w:val="18"/>
        </w:rPr>
        <w:footnoteRef/>
      </w:r>
      <w:r w:rsidRPr="05D33101" w:rsidR="05D33101">
        <w:rPr>
          <w:rFonts w:ascii="Arial" w:hAnsi="Arial" w:eastAsia="Arial" w:cs="Arial"/>
          <w:sz w:val="18"/>
          <w:szCs w:val="18"/>
        </w:rPr>
        <w:t xml:space="preserve"> </w:t>
      </w:r>
      <w:r w:rsidRPr="05D33101" w:rsidR="05D33101">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pt-BR"/>
        </w:rPr>
        <w:t>A possibilidade de proteção coletiva dos direitos e interesses de parte da categoria representada pela entidade de classe é afirmada na Súmula 630 do Supremo Tribunal Federal: “A entidade de classe tem legitimação para o mandado de segurança ainda quando a pretensão veiculada interesse apenas a uma parte da respectiva categoria”</w:t>
      </w:r>
    </w:p>
  </w:footnote>
  <w:footnote w:id="80">
    <w:p w:rsidR="05D33101" w:rsidP="05D33101" w:rsidRDefault="05D33101" w14:paraId="08CE61FA" w14:textId="60FD8829">
      <w:pPr>
        <w:pStyle w:val="Normal"/>
        <w:bidi w:val="0"/>
        <w:spacing w:after="0" w:afterAutospacing="off" w:line="240" w:lineRule="auto"/>
        <w:ind w:firstLine="0"/>
        <w:jc w:val="both"/>
        <w:rPr>
          <w:rFonts w:ascii="Arial" w:hAnsi="Arial" w:eastAsia="Arial" w:cs="Arial"/>
          <w:b w:val="0"/>
          <w:bCs w:val="0"/>
          <w:i w:val="0"/>
          <w:iCs w:val="0"/>
          <w:caps w:val="0"/>
          <w:smallCaps w:val="0"/>
          <w:noProof w:val="0"/>
          <w:color w:val="000000" w:themeColor="text1" w:themeTint="FF" w:themeShade="FF"/>
          <w:sz w:val="18"/>
          <w:szCs w:val="18"/>
          <w:lang w:val="pt-BR"/>
        </w:rPr>
      </w:pPr>
      <w:r w:rsidRPr="05D33101">
        <w:rPr>
          <w:rStyle w:val="Refdenotaderodap"/>
          <w:rFonts w:ascii="Arial" w:hAnsi="Arial" w:eastAsia="Arial" w:cs="Arial"/>
          <w:sz w:val="18"/>
          <w:szCs w:val="18"/>
        </w:rPr>
        <w:footnoteRef/>
      </w:r>
      <w:r w:rsidRPr="05D33101" w:rsidR="05D33101">
        <w:rPr>
          <w:rFonts w:ascii="Arial" w:hAnsi="Arial" w:eastAsia="Arial" w:cs="Arial"/>
          <w:sz w:val="18"/>
          <w:szCs w:val="18"/>
        </w:rPr>
        <w:t xml:space="preserve"> </w:t>
      </w:r>
      <w:r w:rsidRPr="05D33101" w:rsidR="05D33101">
        <w:rPr>
          <w:rFonts w:ascii="Arial" w:hAnsi="Arial" w:eastAsia="Arial" w:cs="Arial"/>
          <w:b w:val="0"/>
          <w:bCs w:val="0"/>
          <w:i w:val="0"/>
          <w:iCs w:val="0"/>
          <w:caps w:val="0"/>
          <w:smallCaps w:val="0"/>
          <w:noProof w:val="0"/>
          <w:color w:val="000000" w:themeColor="text1" w:themeTint="FF" w:themeShade="FF"/>
          <w:sz w:val="18"/>
          <w:szCs w:val="18"/>
          <w:lang w:val="pt-BR"/>
        </w:rPr>
        <w:t xml:space="preserve">Em atenção ao artigo 81, parágrafo único, III, da Lei 8.078, de 1990, está-se diante de direitos individuais homogêneos, quando um direito eminentemente individual foi erigido à categoria de interesses metaindividuais meramente para fins de tutela coletiva. A </w:t>
      </w:r>
      <w:proofErr w:type="spellStart"/>
      <w:r w:rsidRPr="05D33101" w:rsidR="05D33101">
        <w:rPr>
          <w:rFonts w:ascii="Arial" w:hAnsi="Arial" w:eastAsia="Arial" w:cs="Arial"/>
          <w:b w:val="0"/>
          <w:bCs w:val="0"/>
          <w:i w:val="0"/>
          <w:iCs w:val="0"/>
          <w:caps w:val="0"/>
          <w:smallCaps w:val="0"/>
          <w:noProof w:val="0"/>
          <w:color w:val="000000" w:themeColor="text1" w:themeTint="FF" w:themeShade="FF"/>
          <w:sz w:val="18"/>
          <w:szCs w:val="18"/>
          <w:lang w:val="pt-BR"/>
        </w:rPr>
        <w:t>transindividualidade</w:t>
      </w:r>
      <w:proofErr w:type="spellEnd"/>
      <w:r w:rsidRPr="05D33101" w:rsidR="05D33101">
        <w:rPr>
          <w:rFonts w:ascii="Arial" w:hAnsi="Arial" w:eastAsia="Arial" w:cs="Arial"/>
          <w:b w:val="0"/>
          <w:bCs w:val="0"/>
          <w:i w:val="0"/>
          <w:iCs w:val="0"/>
          <w:caps w:val="0"/>
          <w:smallCaps w:val="0"/>
          <w:noProof w:val="0"/>
          <w:color w:val="000000" w:themeColor="text1" w:themeTint="FF" w:themeShade="FF"/>
          <w:sz w:val="18"/>
          <w:szCs w:val="18"/>
          <w:lang w:val="pt-BR"/>
        </w:rPr>
        <w:t xml:space="preserve"> do direito individual homogêneo é legal ou artificial. Pode-se dizer “acidentalmente coletivos” os direitos individuais homogêneos, porquanto os sujeitos são perfeitamente identificados ou identificáveis e a união entre aqueles coletivamente tutelados decorrerá de uma situação fática de origem comum a todos. Pedro </w:t>
      </w:r>
      <w:proofErr w:type="spellStart"/>
      <w:r w:rsidRPr="05D33101" w:rsidR="05D33101">
        <w:rPr>
          <w:rFonts w:ascii="Arial" w:hAnsi="Arial" w:eastAsia="Arial" w:cs="Arial"/>
          <w:b w:val="0"/>
          <w:bCs w:val="0"/>
          <w:i w:val="0"/>
          <w:iCs w:val="0"/>
          <w:caps w:val="0"/>
          <w:smallCaps w:val="0"/>
          <w:noProof w:val="0"/>
          <w:color w:val="000000" w:themeColor="text1" w:themeTint="FF" w:themeShade="FF"/>
          <w:sz w:val="18"/>
          <w:szCs w:val="18"/>
          <w:lang w:val="pt-BR"/>
        </w:rPr>
        <w:t>Lenza</w:t>
      </w:r>
      <w:proofErr w:type="spellEnd"/>
      <w:r w:rsidRPr="05D33101" w:rsidR="05D33101">
        <w:rPr>
          <w:rFonts w:ascii="Arial" w:hAnsi="Arial" w:eastAsia="Arial" w:cs="Arial"/>
          <w:b w:val="0"/>
          <w:bCs w:val="0"/>
          <w:i w:val="0"/>
          <w:iCs w:val="0"/>
          <w:caps w:val="0"/>
          <w:smallCaps w:val="0"/>
          <w:noProof w:val="0"/>
          <w:color w:val="000000" w:themeColor="text1" w:themeTint="FF" w:themeShade="FF"/>
          <w:sz w:val="18"/>
          <w:szCs w:val="18"/>
          <w:lang w:val="pt-BR"/>
        </w:rPr>
        <w:t xml:space="preserve"> (Teoria Geral da Ação Civil Pública. São Paulo, RT, 2003, p. 71) entende que os interesses individuais homogêneos “caracterizam-se por sua divisibilidade plena, na medida em que, além de serem os sujeitos determinados, não existe, por regra, qualquer vínculo jurídico ou relação jurídica-base ligando-os”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10247" w:rsidR="00A217CB" w:rsidP="0009266F" w:rsidRDefault="00DC7791" w14:paraId="2F0FB650" w14:noSpellErr="1" w14:textId="0277EA19">
    <w:pPr>
      <w:pStyle w:val="Cabealho"/>
      <w:tabs>
        <w:tab w:val="clear" w:pos="4252"/>
        <w:tab w:val="clear"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6F"/>
    <w:rsid w:val="00002F10"/>
    <w:rsid w:val="00003738"/>
    <w:rsid w:val="000430C1"/>
    <w:rsid w:val="00054E15"/>
    <w:rsid w:val="0009266F"/>
    <w:rsid w:val="000A6BBF"/>
    <w:rsid w:val="000C554D"/>
    <w:rsid w:val="00113EA8"/>
    <w:rsid w:val="001548D3"/>
    <w:rsid w:val="00161914"/>
    <w:rsid w:val="001C53D1"/>
    <w:rsid w:val="00216C7E"/>
    <w:rsid w:val="00252B9D"/>
    <w:rsid w:val="00290407"/>
    <w:rsid w:val="002B04E9"/>
    <w:rsid w:val="002F2EB4"/>
    <w:rsid w:val="00320228"/>
    <w:rsid w:val="00345ED6"/>
    <w:rsid w:val="003554EE"/>
    <w:rsid w:val="00384013"/>
    <w:rsid w:val="003A79E8"/>
    <w:rsid w:val="003B7F53"/>
    <w:rsid w:val="003E2723"/>
    <w:rsid w:val="00401CCE"/>
    <w:rsid w:val="00474041"/>
    <w:rsid w:val="00484544"/>
    <w:rsid w:val="0048736A"/>
    <w:rsid w:val="005221DD"/>
    <w:rsid w:val="005618B8"/>
    <w:rsid w:val="005F0A06"/>
    <w:rsid w:val="0061326D"/>
    <w:rsid w:val="006A68FF"/>
    <w:rsid w:val="006A7685"/>
    <w:rsid w:val="007453B3"/>
    <w:rsid w:val="0077243F"/>
    <w:rsid w:val="007A1EAB"/>
    <w:rsid w:val="007A2D20"/>
    <w:rsid w:val="007D5D39"/>
    <w:rsid w:val="007F2FF1"/>
    <w:rsid w:val="00805FDD"/>
    <w:rsid w:val="008759D8"/>
    <w:rsid w:val="00886411"/>
    <w:rsid w:val="008A202F"/>
    <w:rsid w:val="008E31EC"/>
    <w:rsid w:val="00944842"/>
    <w:rsid w:val="009472E6"/>
    <w:rsid w:val="00991616"/>
    <w:rsid w:val="009F12FD"/>
    <w:rsid w:val="00A217CB"/>
    <w:rsid w:val="00A43C20"/>
    <w:rsid w:val="00A479CD"/>
    <w:rsid w:val="00A53D55"/>
    <w:rsid w:val="00A76D6F"/>
    <w:rsid w:val="00A86EB1"/>
    <w:rsid w:val="00AA2A10"/>
    <w:rsid w:val="00B662B4"/>
    <w:rsid w:val="00B77566"/>
    <w:rsid w:val="00B87155"/>
    <w:rsid w:val="00B97A85"/>
    <w:rsid w:val="00BB1471"/>
    <w:rsid w:val="00BF1956"/>
    <w:rsid w:val="00C10247"/>
    <w:rsid w:val="00C43815"/>
    <w:rsid w:val="00C514BD"/>
    <w:rsid w:val="00C828E1"/>
    <w:rsid w:val="00D065F2"/>
    <w:rsid w:val="00D217FF"/>
    <w:rsid w:val="00D629C6"/>
    <w:rsid w:val="00D8063E"/>
    <w:rsid w:val="00DC7791"/>
    <w:rsid w:val="00DE221C"/>
    <w:rsid w:val="00E519D8"/>
    <w:rsid w:val="00E51B30"/>
    <w:rsid w:val="00E82E83"/>
    <w:rsid w:val="00EB3C68"/>
    <w:rsid w:val="00EB7919"/>
    <w:rsid w:val="00EC7EE2"/>
    <w:rsid w:val="00F31A1F"/>
    <w:rsid w:val="00F3401F"/>
    <w:rsid w:val="00F74FD3"/>
    <w:rsid w:val="00FA4F63"/>
    <w:rsid w:val="00FD7953"/>
    <w:rsid w:val="01D0E6E9"/>
    <w:rsid w:val="02FC556C"/>
    <w:rsid w:val="036CB74A"/>
    <w:rsid w:val="05D33101"/>
    <w:rsid w:val="061C88A6"/>
    <w:rsid w:val="065A8789"/>
    <w:rsid w:val="0828198D"/>
    <w:rsid w:val="08AA6125"/>
    <w:rsid w:val="08AB82C8"/>
    <w:rsid w:val="08B478BF"/>
    <w:rsid w:val="0921E41C"/>
    <w:rsid w:val="09BCA5A3"/>
    <w:rsid w:val="0A04245C"/>
    <w:rsid w:val="0D4F46A7"/>
    <w:rsid w:val="0E6267EC"/>
    <w:rsid w:val="0E975B11"/>
    <w:rsid w:val="0FC1B017"/>
    <w:rsid w:val="11189D89"/>
    <w:rsid w:val="1202C0C7"/>
    <w:rsid w:val="123A020F"/>
    <w:rsid w:val="1474A3CA"/>
    <w:rsid w:val="1588E42D"/>
    <w:rsid w:val="161B60A6"/>
    <w:rsid w:val="161B60A6"/>
    <w:rsid w:val="1795166C"/>
    <w:rsid w:val="1875504C"/>
    <w:rsid w:val="18C50CE3"/>
    <w:rsid w:val="1A60DD44"/>
    <w:rsid w:val="1ABA1992"/>
    <w:rsid w:val="1B17BE0C"/>
    <w:rsid w:val="1C0B81C0"/>
    <w:rsid w:val="1DE5CA51"/>
    <w:rsid w:val="1E4F5ECE"/>
    <w:rsid w:val="217FAD75"/>
    <w:rsid w:val="21C97161"/>
    <w:rsid w:val="227AC57B"/>
    <w:rsid w:val="227AC57B"/>
    <w:rsid w:val="236541C2"/>
    <w:rsid w:val="24BEA052"/>
    <w:rsid w:val="251F31B3"/>
    <w:rsid w:val="2585DF9A"/>
    <w:rsid w:val="2733B51B"/>
    <w:rsid w:val="286C6EFD"/>
    <w:rsid w:val="296F3625"/>
    <w:rsid w:val="29D8DCFB"/>
    <w:rsid w:val="2A5FAAAC"/>
    <w:rsid w:val="2A6B55DD"/>
    <w:rsid w:val="2B2C4E3F"/>
    <w:rsid w:val="2BBC3B02"/>
    <w:rsid w:val="2DBCE85E"/>
    <w:rsid w:val="2DE9447D"/>
    <w:rsid w:val="2F8514DE"/>
    <w:rsid w:val="336B81A4"/>
    <w:rsid w:val="34F87DEA"/>
    <w:rsid w:val="35D0778D"/>
    <w:rsid w:val="36D91364"/>
    <w:rsid w:val="3923BA61"/>
    <w:rsid w:val="39668A0A"/>
    <w:rsid w:val="398D4775"/>
    <w:rsid w:val="39C043DC"/>
    <w:rsid w:val="3ABF8AC2"/>
    <w:rsid w:val="3B15A819"/>
    <w:rsid w:val="3CF7E49E"/>
    <w:rsid w:val="3E9357B8"/>
    <w:rsid w:val="3EACDD5C"/>
    <w:rsid w:val="3F4AD330"/>
    <w:rsid w:val="3FAB3132"/>
    <w:rsid w:val="3FB943D4"/>
    <w:rsid w:val="3FCC6EE1"/>
    <w:rsid w:val="40D8E8FC"/>
    <w:rsid w:val="4198595A"/>
    <w:rsid w:val="441089BE"/>
    <w:rsid w:val="44B7D971"/>
    <w:rsid w:val="4502F683"/>
    <w:rsid w:val="45AC5A1F"/>
    <w:rsid w:val="469EC6E4"/>
    <w:rsid w:val="49760D52"/>
    <w:rsid w:val="4ABC862F"/>
    <w:rsid w:val="4AC012FF"/>
    <w:rsid w:val="4B05D53B"/>
    <w:rsid w:val="4B738E35"/>
    <w:rsid w:val="50EE80E1"/>
    <w:rsid w:val="53D1DD83"/>
    <w:rsid w:val="5592BF9C"/>
    <w:rsid w:val="55C0B87C"/>
    <w:rsid w:val="58F8593E"/>
    <w:rsid w:val="5BB4FABA"/>
    <w:rsid w:val="5C2FFA00"/>
    <w:rsid w:val="5D00EC3B"/>
    <w:rsid w:val="5D2C19B8"/>
    <w:rsid w:val="5DCBCA61"/>
    <w:rsid w:val="601A09CA"/>
    <w:rsid w:val="6287EFBA"/>
    <w:rsid w:val="65BF907C"/>
    <w:rsid w:val="684E80C5"/>
    <w:rsid w:val="68AE7215"/>
    <w:rsid w:val="693761D5"/>
    <w:rsid w:val="6A48ADDB"/>
    <w:rsid w:val="6A6C844F"/>
    <w:rsid w:val="6B82F3B0"/>
    <w:rsid w:val="6C76F01D"/>
    <w:rsid w:val="6C8107B7"/>
    <w:rsid w:val="6CE07DF2"/>
    <w:rsid w:val="6E1640C0"/>
    <w:rsid w:val="6F90ADBD"/>
    <w:rsid w:val="709EC702"/>
    <w:rsid w:val="71CC6C30"/>
    <w:rsid w:val="7262BD50"/>
    <w:rsid w:val="74719079"/>
    <w:rsid w:val="770E0886"/>
    <w:rsid w:val="77477B82"/>
    <w:rsid w:val="78EB4C74"/>
    <w:rsid w:val="7C7B3605"/>
    <w:rsid w:val="7E95A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FB604"/>
  <w15:chartTrackingRefBased/>
  <w15:docId w15:val="{D89D4B5F-BEBA-4E28-A2B7-AF55AB5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hAnsi="Times New Roman" w:eastAsia="Times New Roman"/>
      <w:b/>
      <w:bCs/>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styleId="CabealhoChar" w:customStyle="1">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styleId="RodapChar" w:customStyle="1">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hAnsi="Times New Roman" w:eastAsia="Times New Roman"/>
      <w:sz w:val="20"/>
      <w:szCs w:val="20"/>
      <w:lang w:val="x-none" w:eastAsia="x-none"/>
    </w:rPr>
  </w:style>
  <w:style w:type="character" w:styleId="TextodenotaderodapChar" w:customStyle="1">
    <w:name w:val="Texto de nota de rodapé Char"/>
    <w:aliases w:val="ESC-Rodapé Char"/>
    <w:link w:val="Textodenotaderodap"/>
    <w:rsid w:val="005F0A06"/>
    <w:rPr>
      <w:rFonts w:ascii="Times New Roman" w:hAnsi="Times New Roman" w:eastAsia="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grafodaLista">
    <w:name w:val="List Paragraph"/>
    <w:basedOn w:val="Normal"/>
    <w:uiPriority w:val="34"/>
    <w:qFormat/>
    <w:rsid w:val="00EC7EE2"/>
    <w:pPr>
      <w:ind w:left="708"/>
    </w:pPr>
  </w:style>
  <w:style w:type="character" w:styleId="Ttulo1Char" w:customStyle="1">
    <w:name w:val="Título 1 Char"/>
    <w:link w:val="Ttulo1"/>
    <w:rsid w:val="00161914"/>
    <w:rPr>
      <w:rFonts w:ascii="Times New Roman" w:hAnsi="Times New Roman" w:eastAsia="Times New Roman"/>
      <w:b/>
      <w:bCs/>
      <w:sz w:val="24"/>
      <w:szCs w:val="24"/>
    </w:rPr>
  </w:style>
  <w:style w:type="paragraph" w:styleId="Textodebalo">
    <w:name w:val="Balloon Text"/>
    <w:basedOn w:val="Normal"/>
    <w:link w:val="TextodebaloChar"/>
    <w:uiPriority w:val="99"/>
    <w:semiHidden/>
    <w:unhideWhenUsed/>
    <w:rsid w:val="00D217FF"/>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D217FF"/>
    <w:rPr>
      <w:rFonts w:ascii="Segoe UI" w:hAnsi="Segoe UI" w:cs="Segoe UI"/>
      <w:sz w:val="18"/>
      <w:szCs w:val="18"/>
      <w:lang w:eastAsia="en-US"/>
    </w:rPr>
  </w:style>
  <w:style w:type="character" w:styleId="normaltextrun1" w:customStyle="true">
    <w:uiPriority w:val="1"/>
    <w:name w:val="normaltextrun1"/>
    <w:basedOn w:val="Fontepargpadro"/>
    <w:rsid w:val="68AE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C1572787C30B4F99021FB34482205F" ma:contentTypeVersion="84" ma:contentTypeDescription="Crie um novo documento." ma:contentTypeScope="" ma:versionID="b02fbf94fc66115eee24032d69892088">
  <xsd:schema xmlns:xsd="http://www.w3.org/2001/XMLSchema" xmlns:xs="http://www.w3.org/2001/XMLSchema" xmlns:p="http://schemas.microsoft.com/office/2006/metadata/properties" xmlns:ns1="http://schemas.microsoft.com/sharepoint/v3" xmlns:ns2="381ee611-f51f-4a36-8d42-e44f8919228b" xmlns:ns3="ecd6a4d5-e1fa-482d-9b58-df5bcc529663" xmlns:ns4="08f45e07-babe-4fd3-8114-8f2d7de090d1" targetNamespace="http://schemas.microsoft.com/office/2006/metadata/properties" ma:root="true" ma:fieldsID="be99be87127e13322da7ee52acfd5314" ns1:_="" ns2:_="" ns3:_="" ns4:_="">
    <xsd:import namespace="http://schemas.microsoft.com/sharepoint/v3"/>
    <xsd:import namespace="381ee611-f51f-4a36-8d42-e44f8919228b"/>
    <xsd:import namespace="ecd6a4d5-e1fa-482d-9b58-df5bcc529663"/>
    <xsd:import namespace="08f45e07-babe-4fd3-8114-8f2d7de090d1"/>
    <xsd:element name="properties">
      <xsd:complexType>
        <xsd:sequence>
          <xsd:element name="documentManagement">
            <xsd:complexType>
              <xsd:all>
                <xsd:element ref="ns2:AssuntodoDocumento" minOccurs="0"/>
                <xsd:element ref="ns2:Destinatario" minOccurs="0"/>
                <xsd:element ref="ns2:Entidade" minOccurs="0"/>
                <xsd:element ref="ns2:TipodoDocumento" minOccurs="0"/>
                <xsd:element ref="ns3:Revisor"/>
                <xsd:element ref="ns3:Entregador"/>
                <xsd:element ref="ns3:Processo" minOccurs="0"/>
                <xsd:element ref="ns3:Cliente" minOccurs="0"/>
                <xsd:element ref="ns1:PublishingStartDate" minOccurs="0"/>
                <xsd:element ref="ns1:PublishingExpirationDate" minOccurs="0"/>
                <xsd:element ref="ns3:Fluxo_x0020_de_x0020_Documentos" minOccurs="0"/>
                <xsd:element ref="ns3:Assunto_x0020_do_x0020_Documento_x003a_Assunto" minOccurs="0"/>
                <xsd:element ref="ns3:Assunto_x0020_do_x0020_Documento_x003a_Campo" minOccurs="0"/>
                <xsd:element ref="ns3:Tipo_x0020_do_x0020_Documento_x003a_G_x00ea_nero" minOccurs="0"/>
                <xsd:element ref="ns3:Tipo_x0020_do_x0020_Documento_x003a_Classe" minOccurs="0"/>
                <xsd:element ref="ns3:Tipo_x0020_do_x0020_Documento_x003a_Esp_x00e9_cie" minOccurs="0"/>
                <xsd:element ref="ns2:SharedWithUsers" minOccurs="0"/>
                <xsd:element ref="ns2:SharingHintHash" minOccurs="0"/>
                <xsd:element ref="ns2:SharedWithDetails" minOccurs="0"/>
                <xsd:element ref="ns3:Enviar_x0020_para_x0020_Status_x0020_Entregue" minOccurs="0"/>
                <xsd:element ref="ns3:Habilitar_x0020_Mudan_x00e7_a_x0020_de_x0020_No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Tarefa" minOccurs="0"/>
                <xsd:element ref="ns4:Tipo_x0020_do_x0020_Documento_x003a_T_x00ed_tulo" minOccurs="0"/>
                <xsd:element ref="ns4:Assunto_x0020_do_x0020_Documento_x003a_R_x00f3_tulo"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ma:readOnly="false">
      <xsd:simpleType>
        <xsd:restriction base="dms:Unknown"/>
      </xsd:simpleType>
    </xsd:element>
    <xsd:element name="PublishingExpirationDate" ma:index="16"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AssuntodoDocumento" ma:index="1" nillable="true" ma:displayName="Assunto do Documento" ma:description="Selecione o assunto de direito material do documento em desenvolvimento." ma:list="{43833cd5-331d-4000-8693-6473ec3c6426}" ma:internalName="AssuntodoDocumento" ma:readOnly="false" ma:showField="Concatenado" ma:web="381ee611-f51f-4a36-8d42-e44f8919228b">
      <xsd:simpleType>
        <xsd:restriction base="dms:Lookup"/>
      </xsd:simpleType>
    </xsd:element>
    <xsd:element name="Destinatario" ma:index="2" nillable="true" ma:displayName="Destinatário" ma:description="Selecione o destinatário do documento" ma:list="{6ad91ecd-9915-4046-a122-8a16adf60bae}" ma:internalName="Destinatario" ma:readOnly="false" ma:showField="Concatenado" ma:web="381ee611-f51f-4a36-8d42-e44f8919228b">
      <xsd:simpleType>
        <xsd:restriction base="dms:Lookup"/>
      </xsd:simpleType>
    </xsd:element>
    <xsd:element name="Entidade" ma:index="3" nillable="true" ma:displayName="Entidade" ma:list="{0530ef28-ea81-4d35-a44a-724592257bf6}" ma:internalName="Entidade" ma:readOnly="false" ma:showField="_x006c_ti4" ma:web="381ee611-f51f-4a36-8d42-e44f8919228b">
      <xsd:simpleType>
        <xsd:restriction base="dms:Lookup"/>
      </xsd:simpleType>
    </xsd:element>
    <xsd:element name="TipodoDocumento" ma:index="4" nillable="true" ma:displayName="Tipo do Documento" ma:list="{f834045d-1b98-4af9-a18e-d11c11bceac1}" ma:internalName="TipodoDocumento" ma:readOnly="false" ma:showField="Concatenado" ma:web="381ee611-f51f-4a36-8d42-e44f8919228b">
      <xsd:simpleType>
        <xsd:restriction base="dms:Lookup"/>
      </xsd:simpleType>
    </xsd:element>
    <xsd:element name="SharedWithUsers" ma:index="24" nillable="true" ma:displayName="Com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Hash de Dica de Compartilhamento" ma:hidden="true" ma:internalName="SharingHintHash" ma:readOnly="true">
      <xsd:simpleType>
        <xsd:restriction base="dms:Text"/>
      </xsd:simpleType>
    </xsd:element>
    <xsd:element name="SharedWithDetails" ma:index="26" nillable="true" ma:displayName="Detalhes de Compartilhado Com"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d6a4d5-e1fa-482d-9b58-df5bcc529663" elementFormDefault="qualified">
    <xsd:import namespace="http://schemas.microsoft.com/office/2006/documentManagement/types"/>
    <xsd:import namespace="http://schemas.microsoft.com/office/infopath/2007/PartnerControls"/>
    <xsd:element name="Revisor" ma:index="5" ma:displayName="Revisor" ma:description="Indique o revisor previsto para o documento em desenvolvimento." ma:list="UserInfo" ma:SharePointGroup="0" ma:internalName="Re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ntregador" ma:index="6" ma:displayName="Entregador" ma:description="Indique o entregador previsto para o documento em desenvolvimento." ma:list="UserInfo" ma:SharePointGroup="0" ma:internalName="Entregad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o" ma:index="7" nillable="true" ma:displayName="Processo" ma:description="Indique o número do processo" ma:internalName="Processo" ma:readOnly="false">
      <xsd:simpleType>
        <xsd:restriction base="dms:Text">
          <xsd:maxLength value="255"/>
        </xsd:restriction>
      </xsd:simpleType>
    </xsd:element>
    <xsd:element name="Cliente" ma:index="8" nillable="true" ma:displayName="Cliente" ma:description="Indique o nome completo ou a sigla do cliente em favor de quem se realiza o documento ou, se não houver, o escritório." ma:internalName="Cliente" ma:readOnly="false">
      <xsd:simpleType>
        <xsd:restriction base="dms:Text">
          <xsd:maxLength value="255"/>
        </xsd:restriction>
      </xsd:simpleType>
    </xsd:element>
    <xsd:element name="Fluxo_x0020_de_x0020_Documentos" ma:index="17" nillable="true" ma:displayName="Fluxo de Documentos" ma:hidden="true" ma:internalName="Fluxo_x0020_de_x0020_Documento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ssunto_x0020_do_x0020_Documento_x003a_Assunto" ma:index="18" nillable="true" ma:displayName="Assunto do Documento:Assunto" ma:hidden="true" ma:list="{43833cd5-331d-4000-8693-6473ec3c6426}" ma:internalName="Assunto_x0020_do_x0020_Documento_x003a_Assunto" ma:readOnly="true" ma:showField="Title" ma:web="381ee611-f51f-4a36-8d42-e44f8919228b">
      <xsd:simpleType>
        <xsd:restriction base="dms:Lookup"/>
      </xsd:simpleType>
    </xsd:element>
    <xsd:element name="Assunto_x0020_do_x0020_Documento_x003a_Campo" ma:index="19" nillable="true" ma:displayName="Assunto do Documento:Campo" ma:hidden="true" ma:list="{43833cd5-331d-4000-8693-6473ec3c6426}" ma:internalName="Assunto_x0020_do_x0020_Documento_x003a_Campo" ma:readOnly="true" ma:showField="Campo" ma:web="381ee611-f51f-4a36-8d42-e44f8919228b">
      <xsd:simpleType>
        <xsd:restriction base="dms:Lookup"/>
      </xsd:simpleType>
    </xsd:element>
    <xsd:element name="Tipo_x0020_do_x0020_Documento_x003a_G_x00ea_nero" ma:index="20" nillable="true" ma:displayName="Tipo do Documento:Gênero" ma:hidden="true" ma:list="{f834045d-1b98-4af9-a18e-d11c11bceac1}" ma:internalName="Tipo_x0020_do_x0020_Documento_x003a_G_x00ea_nero" ma:readOnly="true" ma:showField="Genero" ma:web="381ee611-f51f-4a36-8d42-e44f8919228b">
      <xsd:simpleType>
        <xsd:restriction base="dms:Lookup"/>
      </xsd:simpleType>
    </xsd:element>
    <xsd:element name="Tipo_x0020_do_x0020_Documento_x003a_Classe" ma:index="21" nillable="true" ma:displayName="Tipo do Documento:Classe" ma:hidden="true" ma:list="{f834045d-1b98-4af9-a18e-d11c11bceac1}" ma:internalName="Tipo_x0020_do_x0020_Documento_x003a_Classe" ma:readOnly="true" ma:showField="Classe" ma:web="381ee611-f51f-4a36-8d42-e44f8919228b">
      <xsd:simpleType>
        <xsd:restriction base="dms:Lookup"/>
      </xsd:simpleType>
    </xsd:element>
    <xsd:element name="Tipo_x0020_do_x0020_Documento_x003a_Esp_x00e9_cie" ma:index="22" nillable="true" ma:displayName="Tipo do Documento:Espécie" ma:hidden="true" ma:list="{f834045d-1b98-4af9-a18e-d11c11bceac1}" ma:internalName="Tipo_x0020_do_x0020_Documento_x003a_Esp_x00e9_cie" ma:readOnly="true" ma:showField="Especie" ma:web="381ee611-f51f-4a36-8d42-e44f8919228b">
      <xsd:simpleType>
        <xsd:restriction base="dms:Lookup"/>
      </xsd:simpleType>
    </xsd:element>
    <xsd:element name="Enviar_x0020_para_x0020_Status_x0020_Entregue" ma:index="27" nillable="true" ma:displayName="Enviar para Status Entregue" ma:hidden="true" ma:internalName="Enviar_x0020_para_x0020_Status_x0020_Entregu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Habilitar_x0020_Mudan_x00e7_a_x0020_de_x0020_Nome" ma:index="28" nillable="true" ma:displayName="Habilitar Mudança de Nome" ma:hidden="true" ma:internalName="Habilitar_x0020_Mudan_x00e7_a_x0020_de_x0020_No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45e07-babe-4fd3-8114-8f2d7de090d1" elementFormDefault="qualified">
    <xsd:import namespace="http://schemas.microsoft.com/office/2006/documentManagement/types"/>
    <xsd:import namespace="http://schemas.microsoft.com/office/infopath/2007/PartnerControls"/>
    <xsd:element name="Tarefa" ma:index="35" nillable="true" ma:displayName="Status" ma:hidden="true" ma:list="{10858ef5-8c80-4fd4-b351-59323d024c4f}" ma:internalName="Tarefa" ma:readOnly="false" ma:showField="Title">
      <xsd:simpleType>
        <xsd:restriction base="dms:Lookup"/>
      </xsd:simpleType>
    </xsd:element>
    <xsd:element name="Tipo_x0020_do_x0020_Documento_x003a_T_x00ed_tulo" ma:index="36" nillable="true" ma:displayName="Tipo do Documento:Título" ma:hidden="true" ma:list="{f834045d-1b98-4af9-a18e-d11c11bceac1}" ma:internalName="Tipo_x0020_do_x0020_Documento_x003a_T_x00ed_tulo" ma:readOnly="true" ma:showField="Title" ma:web="381ee611-f51f-4a36-8d42-e44f8919228b">
      <xsd:simpleType>
        <xsd:restriction base="dms:Lookup"/>
      </xsd:simpleType>
    </xsd:element>
    <xsd:element name="Assunto_x0020_do_x0020_Documento_x003a_R_x00f3_tulo" ma:index="37" nillable="true" ma:displayName="Assunto do Documento:Rótulo" ma:hidden="true" ma:list="{43833cd5-331d-4000-8693-6473ec3c6426}" ma:internalName="Assunto_x0020_do_x0020_Documento_x003a_R_x00f3_tulo" ma:readOnly="true" ma:showField="Rotulo" ma:web="381ee611-f51f-4a36-8d42-e44f8919228b">
      <xsd:simpleType>
        <xsd:restriction base="dms:Lookup"/>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viar_x0020_para_x0020_Status_x0020_Entregue xmlns="ecd6a4d5-e1fa-482d-9b58-df5bcc529663">
      <Url xsi:nil="true"/>
      <Description xsi:nil="true"/>
    </Enviar_x0020_para_x0020_Status_x0020_Entregue>
    <Fluxo_x0020_de_x0020_Documentos xmlns="ecd6a4d5-e1fa-482d-9b58-df5bcc529663">
      <Url xsi:nil="true"/>
      <Description xsi:nil="true"/>
    </Fluxo_x0020_de_x0020_Documentos>
    <Entregador xmlns="ecd6a4d5-e1fa-482d-9b58-df5bcc529663">
      <UserInfo>
        <DisplayName>Julia Santos</DisplayName>
        <AccountId>2641</AccountId>
        <AccountType/>
      </UserInfo>
    </Entregador>
    <Processo xmlns="ecd6a4d5-e1fa-482d-9b58-df5bcc529663" xsi:nil="true"/>
    <Entidade xmlns="381ee611-f51f-4a36-8d42-e44f8919228b">66</Entidade>
    <Tarefa xmlns="08f45e07-babe-4fd3-8114-8f2d7de090d1">2344</Tarefa>
    <Destinatario xmlns="381ee611-f51f-4a36-8d42-e44f8919228b">43</Destinatario>
    <PublishingExpirationDate xmlns="http://schemas.microsoft.com/sharepoint/v3" xsi:nil="true"/>
    <Cliente xmlns="ecd6a4d5-e1fa-482d-9b58-df5bcc529663">Sindelpol-RJ</Cliente>
    <AssuntodoDocumento xmlns="381ee611-f51f-4a36-8d42-e44f8919228b">56</AssuntodoDocumento>
    <PublishingStartDate xmlns="http://schemas.microsoft.com/sharepoint/v3" xsi:nil="true"/>
    <Revisor xmlns="ecd6a4d5-e1fa-482d-9b58-df5bcc529663">
      <UserInfo>
        <DisplayName>Miriam Cheissele</DisplayName>
        <AccountId>1530</AccountId>
        <AccountType/>
      </UserInfo>
    </Revisor>
    <Habilitar_x0020_Mudan_x00e7_a_x0020_de_x0020_Nome xmlns="ecd6a4d5-e1fa-482d-9b58-df5bcc529663">
      <Url xsi:nil="true"/>
      <Description xsi:nil="true"/>
    </Habilitar_x0020_Mudan_x00e7_a_x0020_de_x0020_Nome>
    <TipodoDocumento xmlns="381ee611-f51f-4a36-8d42-e44f8919228b">72</TipodoDocumen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0802-6F65-4D10-9769-D6430DFE6BEC}"/>
</file>

<file path=customXml/itemProps2.xml><?xml version="1.0" encoding="utf-8"?>
<ds:datastoreItem xmlns:ds="http://schemas.openxmlformats.org/officeDocument/2006/customXml" ds:itemID="{EB21C575-415E-4BAA-9BE4-69ED2F7B9963}">
  <ds:schemaRefs>
    <ds:schemaRef ds:uri="http://schemas.microsoft.com/sharepoint/v3/contenttype/forms"/>
  </ds:schemaRefs>
</ds:datastoreItem>
</file>

<file path=customXml/itemProps3.xml><?xml version="1.0" encoding="utf-8"?>
<ds:datastoreItem xmlns:ds="http://schemas.openxmlformats.org/officeDocument/2006/customXml" ds:itemID="{75D1D4BF-AF52-438D-BA69-A2A876A39351}">
  <ds:schemaRefs>
    <ds:schemaRef ds:uri="http://schemas.openxmlformats.org/package/2006/metadata/core-properties"/>
    <ds:schemaRef ds:uri="http://purl.org/dc/terms/"/>
    <ds:schemaRef ds:uri="381ee611-f51f-4a36-8d42-e44f8919228b"/>
    <ds:schemaRef ds:uri="http://schemas.microsoft.com/office/infopath/2007/PartnerControls"/>
    <ds:schemaRef ds:uri="http://schemas.microsoft.com/office/2006/documentManagement/types"/>
    <ds:schemaRef ds:uri="http://purl.org/dc/elements/1.1/"/>
    <ds:schemaRef ds:uri="http://schemas.microsoft.com/office/2006/metadata/properties"/>
    <ds:schemaRef ds:uri="782f0046-c990-46cd-8e35-ac70ad6b58e6"/>
    <ds:schemaRef ds:uri="http://www.w3.org/XML/1998/namespace"/>
    <ds:schemaRef ds:uri="http://purl.org/dc/dcmitype/"/>
  </ds:schemaRefs>
</ds:datastoreItem>
</file>

<file path=customXml/itemProps4.xml><?xml version="1.0" encoding="utf-8"?>
<ds:datastoreItem xmlns:ds="http://schemas.openxmlformats.org/officeDocument/2006/customXml" ds:itemID="{2DB44DF3-1760-4628-BF21-60FAB2DE8F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ReqAdm_AbonoPermanencia_Sindelpol-RJ(08-04-2022).docx</dc:title>
  <dc:subject/>
  <dc:creator>Jean P. Ruzzarin</dc:creator>
  <keywords/>
  <lastModifiedBy>Poliana Feitosa</lastModifiedBy>
  <revision>9</revision>
  <lastPrinted>2015-01-02T11:55:00.0000000Z</lastPrinted>
  <dcterms:created xsi:type="dcterms:W3CDTF">2015-01-02T11:42:00.0000000Z</dcterms:created>
  <dcterms:modified xsi:type="dcterms:W3CDTF">2023-11-14T18:35:46.5580967Z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0x010100CAC1572787C30B4F99021FB34482205F</vt:lpwstr>
  </property>
</Properties>
</file>